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CC16.048416 vom 25. August 2017</w:t>
      </w:r>
    </w:p>
    <w:p>
      <w:r>
        <w:t>VD Tribunal cantonal, 2017-08-25, FR</w:t>
      </w:r>
    </w:p>
    <w:p>
      <w:r>
        <w:rPr>
          <w:b/>
        </w:rPr>
        <w:t xml:space="preserve">Quelle: </w:t>
      </w:r>
      <w:r>
        <w:t>https://mcp.opencaselaw.ch/entscheid/vd_gerichte_CC16.048416</w:t>
      </w:r>
    </w:p>
    <w:p>
      <w:r>
        <w:t>FR: VD_GERICHTE CC16.048416 du 25 août 2017</w:t>
      </w:r>
    </w:p>
    <w:p>
      <w:r>
        <w:t>IT: VD_GERICHTE CC16.048416 del 25 agosto 2017</w:t>
      </w:r>
    </w:p>
    <w:p>
      <w:pPr>
        <w:pStyle w:val="Heading2"/>
      </w:pPr>
      <w:r>
        <w:t>Erwägungen</w:t>
      </w:r>
    </w:p>
    <w:p>
      <w:r>
        <w:rPr>
          <w:b/>
        </w:rPr>
        <w:t>E. 3</w:t>
      </w:r>
    </w:p>
    <w:p>
      <w:r>
        <w:t>La recourante soutient que la réduction des 9 heures et 30 minutes de travail consacrées à la cause est injustifiée. Elle estime que la R.________ SA aurait compliqué la résolution du litige en reprochant à sa cliente d’office, l’assurée, des manquements dans l’annonce des sinistres lorsqu’elle aurait d’abord mentionné un vol puis un accident. La R.________ SA aurait également manqué de loyauté dans le traitement du dossier, ce qui aurait engendré des recherches juridiques supplémentaires en matière de responsabilité des assureurs lors de comportements dolosifs envers leurs assurés. Tout en reprenant les critères énumérés à l’art. 2 al. 1 RAJ, la recourante conteste que l’importance de la cause, d’une valeur litigieuse de l’ordre de 20'000 fr. et appréciée uniquement au stade de la conciliation, ait permis de relativiser l’ampleur de ses prestations. Au contraire, elle relève que les difficultés de la cause auraient nécessité des recherches jurisprudentielles et insiste sur la nécessité de fournir les prestations indispensables non seulement pour résister aux diverses arguties de l’assurance visant à dissuader sa cliente d’office d’agir en indemnisation mais aussi pour parvenir à conclure une transaction. Enfin, la recourante souligne que le temps consacré à ce mandat d’office</w:t>
      </w:r>
    </w:p>
    <w:p>
      <w:r>
        <w:t>- 7 - intégrerait des prestations d’instruction qui n’apparaîtraient pas à la lecture de la requête de conciliation. Partant, le temps passé à l’exécution de ce mandat n’aurait été pris en compte que partiellement.</w:t>
      </w:r>
    </w:p>
    <w:p>
      <w:r>
        <w:rPr>
          <w:b/>
        </w:rPr>
        <w:t>E. 4</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 V. Rüegg/M. Rüegg, Basler Kommentar, 3e éd. 2017, n. 5 à 7 ad art. 122 CPC).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(règlement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précité ; ATF 117 la 22 précité consid. 4c et réf. cit.).</w:t>
      </w:r>
    </w:p>
    <w:p>
      <w:r>
        <w:t>- 8 -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(CREC 2 juin 2015/208 consid. 3b/ba). L’avocat d’office ne saurait en effet être rétribué pour des activités qui ne sont pas nécessaires à la défense des intérêts du bénéficiaire de l’assistance judiciaire ou qui consistent en un soutien moral (TF 5P.462/2002 du 30 janvier 2003 consid. 2.3 in fine ; CREC 25 janvier 2013/29, in JdT 2013 III 35 ss).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(TF 5D_28/2014 du 26 mai 2014 consid. 2.2 ; TF 5A_39/2014 du 12 mai 2014 consid. 4.2).</w:t>
      </w:r>
    </w:p>
    <w:p>
      <w:r>
        <w:rPr>
          <w:b/>
        </w:rPr>
        <w:t>E. 5</w:t>
      </w:r>
    </w:p>
    <w:p>
      <w:r>
        <w:t>En l’espèce, on observe que les 9 heures et 30 minutes de temps réfuté par le premier juge correspondent aux opérations effectuées pour la rédaction les 17, 18 et 21 novembre 2016 à raison de 2 heures et de 2 x 15 minutes, le 3 février 2017 à raison de 1 heure et 30 minutes pour un courrier destiné à la R.________ SA et les 20, 28 et 29 mars 2017 à raison de 2 heures, de 1 heure et 30 minutes et de 2 heures. On constate que, simultanément, le premier juge a maintenu le temps afférent à d’autres opérations justifiées par la rédaction et les recherches juridiques qui ont été effectuées les 17 et 18 novembre 2016 à raison de 30 et de 20 minutes, le 3 février 2017 à raison de 2 heures, le 6 mars 2017 à raison de 30 minutes, les 20 et 22 mars 2017 à raison de 3 heures et 40 minutes, le 28 mars 2017 à raison de 2 x 30 minutes, notamment aussi pour la préparation du bordereau de pièces, le 29 mars 2017 à raison de 1 heure,</w:t>
      </w:r>
    </w:p>
    <w:p>
      <w:r>
        <w:t>- 9 - soit un total de 9 heures. Dès lors, malgré la diminution de 9 heures et 30 minutes de temps de travail, il s’avère que 9 heures de travail ont néanmoins été confirmées pour la rédaction de la requête de conciliation et les recherches juridiques. Or une telle durée était amplement suffisante non seulement pour intégrer des prestations d’instruction nécessaires à la rédaction de la requête de conciliation mais aussi pour rédiger celle-ci. En effet, la rédaction de la requête de conciliation de 10 pages consacrées à la désignation des parties, à la présentation des faits, au décompte des prétentions et aux conclusions ne présentait pas de difficultés particulières tant dans l’analyse juridique du litige et dans la rédaction proprement dite que dans les démarches et opérations préparatoires. A ces 9 heures de travail s’ajoutent 15 heures et 40 minutes consacrées aux opérations parallèles et retenues pour calculer l’indemnité, lesquelles comprennent notamment les prestations indispensables pour résister aux divers raisonnements de l’assurance ainsi que celles dispensées en faveur d’une transaction. Par conséquent, la réduction de 9 heures et 30 minutes s’avère justifiée tant la durée alléguée s’avère déraisonnable par rapport à la modeste écriture finalement déposée, et le temps total de 24 heures et 40 minutes, retenu pour calculer l’indemnité d’office litigieuse, valablement apprécié.</w:t>
      </w:r>
    </w:p>
    <w:p>
      <w:r>
        <w:rPr>
          <w:b/>
        </w:rPr>
        <w:t>E. 6</w:t>
      </w:r>
    </w:p>
    <w:p>
      <w:r>
        <w:t>Au vu de ce qui précède, le recours, manifestement infondé, doit être rejeté selon le mode procédural de l’art. 322 al. 1 CPC et le prononcé querellé doit être confirmé. Les frais judiciaires de deuxième instance, arrêtés à 100 fr. (art. 69 al. 3 TFJC [tarif des frais judiciaires civils du 28 septembre 2010 ; RS 270.11.5]), seront mis à la charge de la recourante qui succombe (art. 106 al. 1 CPC).</w:t>
      </w:r>
    </w:p>
    <w:p>
      <w:r>
        <w:t>- 10 - Par ces motifs, la Chambre des recours civile du Tribunal cantonal, en application de l'art. 322 al. 1 CPC, prononce : I. Le recours est rejeté. II. Le prononcé est confirmé. III. Les frais judiciaires de deuxième instance, arrêtés à 100 fr. (cent francs), sont mis à la charge de la recourante M.________.</w:t>
      </w:r>
    </w:p>
    <w:p>
      <w:r>
        <w:t>- 11 - IV. L’arrêt est exécutoire. La présidente : La greffière : Du L'arrêt qui précède est notifié en expédition complète, par l'envoi de photocopies, à : - Me M.________, - Mme X.________.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