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CB23.025475 vom 15. Juli 2024</w:t>
      </w:r>
    </w:p>
    <w:p>
      <w:r>
        <w:t>VD Tribunal cantonal, 2024-07-15, FR</w:t>
      </w:r>
    </w:p>
    <w:p>
      <w:r>
        <w:rPr>
          <w:b/>
        </w:rPr>
        <w:t xml:space="preserve">Quelle: </w:t>
      </w:r>
      <w:r>
        <w:t>https://mcp.opencaselaw.ch/entscheid/vd_gerichte_CB23.025475</w:t>
      </w:r>
    </w:p>
    <w:p>
      <w:r>
        <w:t>FR: VD_GERICHTE CB23.025475 du 15 juillet 2024</w:t>
      </w:r>
    </w:p>
    <w:p>
      <w:r>
        <w:t>IT: VD_GERICHTE CB23.025475 del 15 luglio 2024</w:t>
      </w:r>
    </w:p>
    <w:p>
      <w:pPr>
        <w:pStyle w:val="Heading2"/>
      </w:pPr>
      <w:r>
        <w:t>Erwägungen</w:t>
      </w:r>
    </w:p>
    <w:p>
      <w:r>
        <w:rPr>
          <w:b/>
        </w:rPr>
        <w:t>E. 3</w:t>
      </w:r>
    </w:p>
    <w:p>
      <w:r>
        <w:t>à 8a LCD concrétisent ce principe en énonçant, à titre exemplatif, une série de comportements déloyaux (ATF 131 III 384 consid. 3; TF 4C.170/2008 du 28 août 2006 consid. 3). La clause générale de l'art. 2 LCD n'entre donc en ligne de compte qu'à titre subsidiaire, si le comportement reproché ne tombe pas sous le coup des art. 3 à 8a LCD (TF 4A_371/2010 du 29 octobre 2010 consid. 8.1; ATF 133 III 431 consid. 4.1 et les références citées). Pour qu'il y ait acte de concurrence déloyale, il ne suffit pas que le comportement apparaisse déloyal au regard de la liste d'exemples figurant aux art. 3 à 8a LCD. Il faut encore, comme le montre la définition générale de l'art. 2 LCD, qu'il influe sur les rapports entre concurrents ou entre fournisseurs et clients, autrement dit qu'il influence le jeu de la concurrence, le fonctionnement du marché. L'acte</w:t>
      </w:r>
    </w:p>
    <w:p>
      <w:r>
        <w:t>- 17 -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8a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8a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8a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w:t>
      </w:r>
    </w:p>
    <w:p>
      <w:r>
        <w:t>- 18 - bb) A teneur de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Précis du droit suisse des biens immatériels, 2e éd.,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(f)). Pour déterminer si cela est le cas, le juge se fondera sur l'expérience générale de la vie et les circonstances particulières du cas (TF 4C.363/2005 du 27 mars 2006 consid. 4.1.2 et les références). Selon l'art. 3 al. 1 let. d LCD, agit de façon déloyale celui qui prend des mesures qui sont de nature à faire naître une confusion avec les marchandises, les œuvres, les prestations ou les affaires d'autrui.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(sic! 2009 p. 431 consid. IV/d; ATF 131 III 384 consid. 5.1, JdT 2005 I 434). Est ainsi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(ATF 128 III 353 consid. 4 et les arrêts cités). L'acte de concurrence déloyale ne suppose chez son auteur ni mauvaise foi, ni</w:t>
      </w:r>
    </w:p>
    <w:p>
      <w:r>
        <w:t>- 19 - faute, mais simplement un acte objectivement contraire aux règles de la bonne foi en affaires (ATF 109 II 483 consid. 5, JdT 1984 I 295). En vertu de l’art. 3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traite ainsi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ou le fait de s'inspirer de la force distinctive et publicitaire d'une marque antérieure lorsque le signe postérieur transmet sans équivoque un message du type "remplacement de" ou "aussi bien que" (ATF 135 III 446 «Maltesers » consid. 7.1, JdT 2010 I 665). Selon l’art. 4 let. a LCD, agit de façon déloyale celui qui incite un client à rompre un contrat en vue d'en conclure un autre avec lui. La reprise des investissements d'autrui est prohibée de façon concrète aux art. 4 à 6 LCD (ATF 133 III 431 consid. 4.5, JdT 2008 I 34).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p.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w:t>
      </w:r>
    </w:p>
    <w:p>
      <w:r>
        <w:t>- 20 - consid. 3.2). S’agissant du rapport particulier médecin-patient, selon la jurisprudence, le fait pour un médecin d’indiquer à certains de ses patients qu’il a l’intention de quitter un cabinet, sans plus les inciter à les suivre après son départ, demeurerait conforme aux exigences de la LCD. En outre, même dans l’hypothèse où le médecin aurait incité ses patients à quitter le cabinet pour le suivre, il n’y a pas d’incitation déloyale lorsque la résiliation du contrat par le patient est conforme au contrat. Tel est le cas si l’on considère que les patients suivis par le médecin en question étaient liés au cabinet par un contrat de mandat résiliable en tout temps en application de l’art. 404 al. 1 CO. La norme éthique et déontologique est plus exigeante. En effet, la LCD fixe un cadre minimal valant pour tous les contrats et toutes les professions. La loi fédérale sur les professions médicales universitaires du 23 juin 2006 (LPMéd ; RS 811.11) s’inscrit dans un contexte spécifique et intègre des valeurs supplémentaires qui doivent être prises en considération lors de l’évaluation du comportement d’un médecin. Le droit disciplinaire est indépendant du droit pénal et du droit civil. Il marque également sa différence avec la LCD (Donzallaz, Traité de droit médical, vol. II, 2021, nn. 5391-5392 et les références citées). L’art. 40 let. d et e LPMéd prévoit par exemple, s’agissant des devoirs professionnels de la personne qui exerce une profession médicale universitaire sous sa propre responsabilité professionnelle, qu’elle doit s’abstenir de toute publicité qui n’est pas objective et qui ne répond pas à l’intérêt général, cette publicité ne devant en outre ni induire en erreur ni importuner (let. d) ; elle doit en outre défendre, dans sa collaboration avec d’autres professions de la santé, exclusivement les intérêts des patients indépendamment des avantages financiers (let. e). Selon l'art. 5 LCD, agit de façon déloyale notamment celui qui exploite de façon indue le résultat d'un travail qui lui a été confié (let. a), qui exploite le résultat du travail d'un tiers, par exemple des offres, des calculs ou des plans, bien qu'il sache que ce résultat lui a été remis ou rendu accessible de façon indue (let. b) ou qui reprend grâce à des procédés techniques de reproduction et sans sacrifice correspondant le résultat de travail d’un tiers prêt à être mis sur le marché et l’exploite comme tel (let. c). Par "résultat d'un travail", il faut en effet entendre le</w:t>
      </w:r>
    </w:p>
    <w:p>
      <w:r>
        <w:t>- 21 -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op. cit., nn. 26 et 27 ad art. 5 LCD; cf. en outre ATF 122 III 469 consid.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w:t>
      </w:r>
    </w:p>
    <w:p>
      <w:r>
        <w:rPr>
          <w:b/>
        </w:rPr>
        <w:t>E. 5</w:t>
      </w:r>
    </w:p>
    <w:p>
      <w:r>
        <w:t>LCD). En revanche, une simple idée - pour autant qu'elle ne soit pas protégée par un droit particulier - peut être exploitée par un tiers, même si elle est fixée par la suite (FF 1983 II 1037, 1103). Le résultat du travail doit avoir été "confié" au concurrent et être exploité "de manière indue", c'est- à-dire sans l'autorisation de son auteur. Le concurrent doit donc l'exploiter contrairement aux accords passés, le détourner de la destination convenue (TF 4C.399/1999 consid. 2b précité). cc) L’art. 9 LCD permet à la personne qui, par un acte de concurrence déloyale, subit une atteinte dans sa clientèle, son crédit ou sa réputation professionnelle, ses affaires ou ses intérêts économiques en général ou qui en est menacé, de demander au juge de l'interdire si elle est imminente (let. a), de la faire cesser si elle dure encore (let. b) ou d’en constater le caractère illicite, si le trouble subsiste (let. c) (al. 1) ; elle peut en outre, conformément au code des obligations, intenter des actions en dommages-intérêts et en réparation du tort moral, ainsi qu’exiger la remise du gain selon les dispositions sur la gestion d’affaires (al. 3). S’agissant d’une conclusion en cessation du trouble, soit notamment en cessation d’une activité professionnelle, l’exécution réelle est une ultima ratio et le juge n’y donne suite que de manière très restrictive, vu les incidences économiques que présente l’interdiction d’exercer une profession (dommage irréparable résidant principalement dans l’absence de revenus et dommages collatéraux qui exposent la</w:t>
      </w:r>
    </w:p>
    <w:p>
      <w:r>
        <w:t>- 22 - personne à ne plus pouvoir faire face à ses échéances financières régulières). Dès lors, une exécution réelle doit être limitée aux violations crasses de la prohibition de concurrence, lesquelles se confondent généralement de manière évidente avec un acte de concurrence déloyale. Toutefois, si des mesures provisionnelles n’ont pas été requises, alors que le demandeur en avait la possibilité, celui-ci se prive définitivement de la possibilité de requérir l’exécution réelle. En effet, l’écoulement du temps lié à la durée du procès ne lui permettra plus, au regard des règles de la bonne foi, de requérir l’interdiction d’exercer l’activité, s’il ne l’a pas demandé auparavant, alors qu’il le pouvait. Il conserve cependant la possibilité de réclamer le paiement de la peine conventionnelle et le dommage qui excéderait ce montant (Wyler, Droit du travail, 4e éd., p. 927). b) En l’espèce, par contrat signé le 28 juin 2018, les parties sont convenues de collaborer pour une durée indéterminée, le défendeur exerçant en qualité d’ophtalmologue indépendant et bénéficiant des infrastructures du centre médical exploité par la demanderesse contre rétrocession d’une partie de ses honoraires. Le défendeur s’est en outre engagé (clause 14), en cas de résiliation du contrat de sa part, à s’abstenir de faire concurrence à la demanderesse de quelque manière que ce soit, notamment d’exploiter pour son propre compte une entreprise concurrente, d’y travailler ou de s’y intéresser, durant deux ans et dans un rayon de trois kilomètres autour du centre de la demanderesse. Les parties étaient convenues qu’en cas de violation de cette disposition du contrat, le défendeur devrait verser une indemnité de 50'000 fr. à la demanderesse, celle-ci pouvant en outre demander en justice la cessation de la contravention. Il ressort de l’état de fait que le défendeur a ouvert le 1er mars 2023 un cabinet d’ophtalmologie (le [...]) à [...], à moins de deux kilomètres du centre médical exploité par la demanderesse. Peu avant, comme cela a été attesté par la secrétaire médicale de la demanderesse lors de son audition comme témoin à l’occasion de l’audience de mesures provisionnelles du 17 juillet 2023, il avait pris soin de distribuer ses</w:t>
      </w:r>
    </w:p>
    <w:p>
      <w:r>
        <w:t>- 23 - nouvelles cartes de visite aux patients durant ses consultations au sein de la demanderesse, ainsi que d’envoyer des documents publicitaires « tout- ménage » par la poste. Cela a eu pour conséquence que de nombreux patients ont été déstabilisés puisqu’ils ne savaient alors plus s’ils devaient reprendre rendez-vous auprès de la demanderesse ou au nouveau cabinet du défendeur. Certains patients ont même pensé que le centre médical exploité par la demanderesse allait fermer et plusieurs personnes qui étaient suivies par le défendeur n’ont pas repris de rendez-vous au centre de la demanderesse alors que les traitements en cours n’étaient pas terminés et qu’un suivi était encore nécessaire. A la veille de l’ouverture du cabinet du défendeur, huit patients suivis par ce dernier ont appelé la demanderesse pour annuler leur rendez-vous prévu le lendemain, en indiquant qu’ils avaient décidé de consulter ailleurs. La demanderesse a alors mis le défendeur en demeure de cesser tout acte de concurrence déloyale, a résilié le contrat qui les liait avec effet immédiat et a réclamé le paiement d’un montant de 50'000 fr. pour « pénalités pour concurrence déloyale ». En l’occurrence, la clause 14 du contrat qui liait les parties n’est pas applicable dès lors qu’elle ne couvrait que le cas où c’était le défendeur qui résiliait le contrat. Le défendeur est certes à l’origine de la rupture du lien de confiance et de la décision qu’a prise la demanderesse de mettre fin au contrat avec effet immédiat, mais ce n’est pas lui qui a initié la fin de cette relation. Le contenu de la clause permet néanmoins de déterminer ce qui, dans l’esprit des parties au moment de la conclusion du contrat, relevait d’un comportement loyal et sain. On peut ainsi retenir que l’ouverture d’un cabinet ophtalmologique à moins de trois kilomètres du centre exploité par la demanderesse était, lui, considéré comme un comportement déloyal par les deux parties et donc prohibé. De même, les parties avaient alors considéré que le dommage résultant de ce comportement serait de 50'000 francs. S’agissant du comportement du défendeur, celui-ci ne s’est pas contenté d’indiquer à certains de ses patients qu’il avait l’intention de quitter le cabinet de la demanderesse, d’annoncer sa nouvelle adresse</w:t>
      </w:r>
    </w:p>
    <w:p>
      <w:r>
        <w:t>- 24 - dans la presse ou de poser un panneau devant son nouveau cabinet médical. Il en a informé les patients qu’il suivait au centre médical exploité par la demanderesse, leur a distribué des cartes de visite lors des consultations au sein de la demanderesse et leur a envoyé de la publicité à domicile. En agissant ainsi, il a outrepassé les devoirs professionnels qui lui incombaient au sens de la LPMéd. Il a profité du travail de la demanderesse qui a acquis dite patientèle et mis en place un système permettant d’exploiter la renommée de la demanderesse en approchant directement les patients alors qu’ils se trouvaient en traitement dans le centre médical de cette dernière. Si les patients sont libres de choisir leur médecin, un tel comportement permet de déduire qu’il y a eu incitation de la part du défendeur à rompre la relation qui les liait à la demanderesse en vue d’en conclure un autre avec lui, puisque de nombreux patients ont annulé leurs rendez-vous en cours de traitement ou au dernier moment avant celui-ci, précisément au moment où le défendeur s’est installé à proximité de la demanderesse. Une telle incitation à rompre le contrat liant la demanderesse à ses patients n’est pas conforme aux usages. Il est en effet peu commun de mettre fin à un traitement ophtalmologique en cours de suivi, sans motif ou à la veille d’un rendez-vous médical. C’est pourtant ce que de nombreux patients ont fait. En outre, les informations que le défendeur leur a transmises ont été telles qu’elles ont engendré de la confusion chez plusieurs patients qui ont pensé que le centre exploité par la demanderesse allait fermer. Les mesures prises par le défendeur ont donc concrètement créé une confusion dans l’esprit de la patientèle de la demanderesse qu’il s’est en outre appropriée en partie. Au vu de ce qui précède, la demanderesse a démontré que le comportement du défendeur pouvait être qualifié de déloyal au sens de la LCD. La fermeture immédiate du centre médical du défendeur à [...] apparaît toutefois disproportionnée, d’une part, parce que la demanderesse y a renoncé au stade des mesures provisionnelles et, d’autre part, parce que la clause de non- concurrence prévoyait une durée de validité de deux ans. La demanderesse ayant néanmoins obtenu du défendeur que celui-ci respecte certaines exigences pour s’assurer qu’il ne débauche pas sa patientèle, celles-ci doivent être pérennisées en tant qu’elles sont adéquates, nécessaires et suffisantes pour faire cesser le trouble. Leur durée de validité est néanmoins limitée par la durée de la</w:t>
      </w:r>
    </w:p>
    <w:p>
      <w:r>
        <w:t>- 25 - clause de non-concurrence convenue entre les parties, si bien qu’elles ne s’appliqueront que jusqu’au 3 mars 2025. Le défendeur devra en outre verser à la demanderesse le montant de 50'000 fr., dommage estimé par les parties au moment de la signature du contrat. c) Selon l'art. 104 al. 1 CO, le débiteur qui est en demeure pour le paiement d'une somme d'argent doit l'intérêt moratoire à 5% l'an, même si un taux inférieur avait été fixé pour l'intérêt conventionnel. Aux termes de l'art. 102 al. 1 CO, le débiteur d'une obligation exigible est mis en demeure par l'interpellation du créancier. Il suffit que le créancier manifeste clairement de quelque manière – par écrit, verbalement ou par actes concluants – sa volonté de recevoir la prestation promise, sans indiquer les conséquences de la demeure (ATF 129 III 535, JdT 2003 I 590). En l’espèce, la demanderesse a conclu à l’allocation d’un intérêt moratoire de 5% l’an sur ses conclusions, ce qui correspond au taux légal. Elle a également conclu à ce que le montant dû porte intérêt au taux de 5% à compter du jour du dépôt de la demande, soit dès le 15 juin 2023. La demande n’a toutefois été notifiée au défendeur que le 21 août 2023 lorsque l’avance de frais a été versée par la demanderesse. Par conséquent, la somme de 50’000 fr. due par le défendeur l’est avec intérêt à 5% l’an dès le 22 août 2023. V. Selon l’art. 343 CPC, lorsque la décision prescrit une obligation de faire, de s’abstenir ou de tolérer, le tribunal de l’exécution peut notamment assortir la décision de la menace de la peine prévue à l’art. 292 CP (Code pénal suisse du 21 décembre 1937; RS 311) (let. a), prévoir une amende d’ordre de 5’000 francs au plus (let. b) ou prévoir une amende d’ordre de 1’000 francs au plus pour chaque jour d’inexécution (let. c).</w:t>
      </w:r>
    </w:p>
    <w:p>
      <w:r>
        <w:t>- 26 - Dans ces trois cas de figure, le non-respect des mesures prises par le tribunal de l’exécution aura pour conséquence que cette autorité dénoncera l’infraction à l’autorité de poursuite pénale et/ou prononcera l’une et/ou l’autre des amendes annoncées (Jeandin, in Bohnet/Haldy/Jeandin/Schweizer/Tappy, Code de procédure civile commenté, 2019, n. 14 ad art. 343 CPC). En l’espèce, dans la mesure où la demanderesse a requis des dispositions d’exécution pour la conclusion I. qui est admise, il y a lieu d'ordonner de telles mesures d'exécution. VI. a) Les frais sont mis à la charge de la partie qui succombe (art. 106 al. 1 CPC). Ils comprennent les frais judiciaires et les dépens (art. 95 al. 1 CPC). Les frais judiciaires sont compensés avec les avances fournies par les parties (art. 111 al. 1 CPC). A teneur de l'art. 18 du tarif du 28 septembre 2010 des frais judiciaires civils (TFJC ; BLV 270.11.15), l'émolument forfaitaire de décision pour les contestations patrimoniales en procédure ordinaire est fixé à 7’000 fr. dans les cas où la valeur litigieuse se situe entre 30'001 fr. et 100'000 fr., montant qui est réduit des deux tiers lorsque le procès prend fin par une décision au sens de l’art. 223 al. 2 CPC (art. 22 al. 4 TFJC). Il est fixé à un montant se situant entre 900 fr. et 3'000 fr. en procédure sommaire (art. 28 TFJC), montant qui est réduit de moitié lorsque le procès prend fin pour une des causes prévues à l’art. 241 CPC à l’audience (29 al. 1 TFJC). Quant à l’émolument forfaitaire dû pour le dépôt de mesures superprovisionnelles, il est fixé à 350 fr. devant la Cour civile (art. 30 TFJC). Le tarif des dépens judiciaires du 23 novembre 2010 (TDC ; BLV 270.11.6) prévoit que le défraiement de l’avocat est arrêté à un montant se situant entre 3'000 fr. et 15'000 fr. en procédure ordinaire lorsque la valeur litigieuse est de 30'001 fr. à 100'000 fr. (art. 4 TDC), et entre 1'500 fr. et 6'000 fr. en procédure sommaire (art. 6 TDC). Les</w:t>
      </w:r>
    </w:p>
    <w:p>
      <w:r>
        <w:t>- 27 - débours, qui comprennent les débours nécessaires et incluent notamment les frais de déplacement, de téléphone, de port et de copie, sont estimés, sauf élément contraire, à 5% du défraiement du représentant professionnel en première instance judiciaire (art. 19 TDC). b) En l’espèce, la valeur litigieuse est de 50'000 fr. et le procès au fond prend fin par une décision au sens de l’art. 223 al. 2 CPC. S’agissant de la procédure de mesures provisionnelles, elle a pris fin par la signature d’une transaction lors de l’audience qui s’est tenue le 17 juillet 2023, les parties convenant de laisser les frais et les dépens suivre le sort de la procédure au fond. Les frais de justice de la procédure au fond sont arrêtés à 3'666 fr. 65. Quant aux frais de la procédure provisionnelle et superprovisionnelle, ils sont arrêtés à 2'108 fr. 20 (350 fr. + 1'500 fr. + 258 fr. 20). Les dépens sont, eux, arrêtés à 21’000 fr., débours compris. Le défendeur versera donc un montant total de 26’424 fr. 85 à la demanderesse à titre de remboursement des avances de frais (5'424 fr. 85, le montant de 350 fr. étant laissé à la charge de la demanderesse) et de dépens (21'000 fr.). VII. Le présent jugement, rendu par une instance cantonale unique au sens de l'art. 5 CPC, est motivé d'office (Kriech, ZPO-Kommentar, 2e éd., n. 7 ad art. 239 CPC; Steck/Brunner, Basler Kommentar, 3e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