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BC16.043041 vom 21. Januar 2019</w:t>
      </w:r>
    </w:p>
    <w:p>
      <w:r>
        <w:t>VD Tribunal cantonal, 2019-01-21, FR</w:t>
      </w:r>
    </w:p>
    <w:p>
      <w:r>
        <w:rPr>
          <w:b/>
        </w:rPr>
        <w:t xml:space="preserve">Quelle: </w:t>
      </w:r>
      <w:r>
        <w:t>https://mcp.opencaselaw.ch/entscheid/vd_gerichte_BC16.043041</w:t>
      </w:r>
    </w:p>
    <w:p>
      <w:r>
        <w:t>FR: VD_GERICHTE BC16.043041 du 21 janvier 2019</w:t>
      </w:r>
    </w:p>
    <w:p>
      <w:r>
        <w:t>IT: VD_GERICHTE BC16.043041 del 21 gennaio 2019</w:t>
      </w:r>
    </w:p>
    <w:p>
      <w:pPr>
        <w:pStyle w:val="Heading2"/>
      </w:pPr>
      <w:r>
        <w:t>Erwägungen</w:t>
      </w:r>
    </w:p>
    <w:p>
      <w:r>
        <w:rPr>
          <w:b/>
        </w:rPr>
        <w:t>E. 4</w:t>
      </w:r>
    </w:p>
    <w:p>
      <w:r>
        <w:t>Il s’ensuit que le recours doit être admis et la décision entreprise réformée en ce que la requête présentée le 23 septembre 2016 par M.________ est admise et que D.T.________ est destitué avec effet immédiat de sa fonction d’exécuteur testamentaire.</w:t>
      </w:r>
    </w:p>
    <w:p>
      <w:r>
        <w:t>- 13 - Il n’est pas nécessaire de renvoyer la cause au premier juge pour qu'il désigne un nouvel exécuteur testamentaire. En effet, l’enfant mineur C.T.________ est le seul héritier du défunt, de sorte qu’il n’y aura pas de désaccord entre héritiers et que la succession ne donnera pas lieu à partage. D'ailleurs, la représentante légale de l'héritier unique ne considère elle-même pas une telle mesure comme étant utile. Si celle-ci devait toutefois changer d'avis, soin lui sera laissé de s'adresser directement au premier juge en lui notifiant une requête tendant à une telle nomination. Les frais judiciaires de première instance, arrêtés à 200 fr. (art. 43 al. 6 TFJC [tarif des frais judiciaires en matière civile du 28 septembre 2010 ; RSV 270.11.5]), seront mis à la charge de l’intimé D.T.________, qui succombe (art. 106 al. 1 CPC), et celui-ci versera à M.________ la somme de 1'000 fr. à titre de dépens de première instance (art. 6 TDC [tarif du 23 novembre 2010 des dépens en matière civile ; RSV 270.11.6]). S’agissant des frais judiciaires de deuxième instance, ceux-ci, arrêtés à 1'000 fr. (art. 74 al. 1 TFJC), seront mis à la charge de l’intimé, qui succombe (art. 106 al. 1 CPC). Ce dernier versera à M.________ la somme de 2'000 fr. à titre de dépens de deuxième instance (art. 8 TDC). Par ces motifs, la Chambre des recours civile du Tribunal cantonal, prononce : I. Le recours est admis. II. Il est statué à nouveau comme il suit : I. La requête présentée le 23 septembre 2016 par M.________ est admise. D.T.________ est destitué de sa fonction d'exécuteur testamentaire, avec effet immédiat.</w:t>
      </w:r>
    </w:p>
    <w:p>
      <w:r>
        <w:t>- 14 - II. Les frais judiciaires de première instance, arrêtés à 200 fr. (deux cents francs), sont mis à la charge de l'intimé D.T.________. III. L'intimé D.T.________ doit verser à la requérante M.________ la somme de 1'000 fr. (mille francs) à titre de dépens de première instance. IV. Toutes autres conclusions sont rejetées. III. Les frais judiciaires de deuxième instance, arrêtés à 1'000 fr. (mille francs), sont mis à la charge de l'intimé D.T.________. IV. L'intimé D.T.________ doit verser à la recourante M.________ la somme de 3'000 fr. (trois mille francs), à titre de remboursement d'avance de frais et de dépens de deuxième instance. V. L’arrêt est exécutoire. Le président : Le greffier : Du L'arrêt qui précède, dont la rédaction a été approuvée à huis clos, est notifié à : - Me Christoph Loetscher (pour M.________), - Me Stefano Fabbro (pour D.T.________). La Chambre des recours civile considère que la valeur litigieuse est supérieure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