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B917.017284 vom 14. April 2021</w:t>
      </w:r>
    </w:p>
    <w:p>
      <w:r>
        <w:t>VD Tribunal cantonal, 2021-04-14, FR</w:t>
      </w:r>
    </w:p>
    <w:p>
      <w:r>
        <w:rPr>
          <w:b/>
        </w:rPr>
        <w:t xml:space="preserve">Quelle: </w:t>
      </w:r>
      <w:r>
        <w:t>https://mcp.opencaselaw.ch/entscheid/vd_gerichte_B917.017284</w:t>
      </w:r>
    </w:p>
    <w:p>
      <w:r>
        <w:t>FR: VD_GERICHTE B917.017284 du 14 avril 2021</w:t>
      </w:r>
    </w:p>
    <w:p>
      <w:r>
        <w:t>IT: VD_GERICHTE B917.017284 del 14 aprile 2021</w:t>
      </w:r>
    </w:p>
    <w:p>
      <w:pPr>
        <w:pStyle w:val="Heading2"/>
      </w:pPr>
      <w:r>
        <w:t>Erwägungen</w:t>
      </w:r>
    </w:p>
    <w:p>
      <w:r>
        <w:rPr>
          <w:b/>
        </w:rPr>
        <w:t>E. 3</w:t>
      </w:r>
    </w:p>
    <w:p>
      <w:r>
        <w:t>Dans son rapport d’évaluation du 26 février 2019[...], assistante sociale auprès du SPJ, a conclu à l’instauration de l’autorité parentale conjointe, au maintien des modalités alors en vigueur pour l’exercice du droit de visite dans l’attente d’un avis médical qui permettrait un élargissement progressif du droit de visite en vue d’aboutir à une réglementation usuelle, à la mise en place d’un appel téléphonique hebdomadaire entre le père et ses enfants et à l’institution d’une mesure au sens de l’art. 307 al. 3 CC (Code civil suisse du 10 décembre 1907 ; RS 210) afin de veiller notamment à la mise en place d’un suivi thérapeutique en faveur des enfants et au bon développement de leur situation. Par requête de mesures superprovisionnelles du 3 mai 2019, Z.________ a requis qu’un rappel à ses devoirs soit adressé à C.________ en vertu de l’art. 307 al. 3 CC et qu’il lui soit demandé à ce titre de respecter les modalités du droit de visite arrêtées par le Tribunal cantonal. Par ordonnance de mesures superprovisionnelles du 7 mai 2019, la juge de paix a rejeté la requête précitée au motif que la question serait débattue à l’audience du 22 mai 2019. Par convention signée à l’audience du 22 mai 2019 et ratifiée par la juge de paix pour valoir ordonnance de mesures provisionnelles, C.________ et Z.________ se sont entendus à ce que le père exerce son droit de visite sur ses enfants par l’intermédiaire de Point Rencontre pendant 6 heures avec l’autorisation de sortir des locaux et, jusqu’à la mise en œuvre de la médiatisation des relations personnelles, selon les modalités fixées par l’arrêt du 8 novembre 2018. Par décision du même jour, notifiée aux parties le 30 août 2019, la juge de paix a mis fin à l’enquête en modification de l’autorité parentale, institué une surveillance judiciaire au sens de l’art. 307 CC, institué l’autorité parentale conjointe d’C.________ et de Z.________ sur leurs enfants B.T.________ et A.T.________, dit que C.________ était détentrice de la garde des enfants et poursuivi l’enquête en fixation du droit de visite de Z.________ sur ses enfants.</w:t>
      </w:r>
    </w:p>
    <w:p>
      <w:r>
        <w:t>- 11 - Egalement par décision du 22 mai 2019, notifiée le 30 août 2019, la juge de paix a recommandé aux parties d’entreprendre une médiation au sens de l’art. 314 al. 2 CC, estimant que le recours à un professionnel était indispensable pour renouer le dialogue entre les parents et apaiser la situation, et a suspendu la procédure. Par courrier du 17 juillet 2019, la juge de paix a invité les parties, et plus particulièrement la mère, à lui faire part des raisons pour lesquelles elle n’avait toujours pas pris contact avec Point Rencontre et dans quelle mesure elle allait se conformer à la convention précitée du 22 mai 2019. Par courrier du 21 novembre 2019, [...], médiatrice familiale, a informé l’autorité de protection que les parties avaient fait appel à ses services, qu’elle les avait rencontrées une fois individuellement et qu’elles étaient d’accord de poursuivre le processus, un entretien commun devant avoir lieu prochainement. Par courrier du 21 janvier 2020, la médiatrice a informé la juge de paix qu’elle s’était résolue à mettre un terme à la médiation faute de volonté des parents de vouloir s’engager à deux dans un processus de remise en question pour le bien de leurs enfants. Elle indiquait que lors de l’entretien commun du 5 décembre 2019, Z.________ et C.________ s’étaient engagés à s’efforcer de communiquer entre eux sans mêler leur entourage et de faire respecter aux enfants les accords pris.</w:t>
      </w:r>
    </w:p>
    <w:p>
      <w:r>
        <w:rPr>
          <w:b/>
        </w:rPr>
        <w:t>E. 3.1</w:t>
      </w:r>
    </w:p>
    <w:p>
      <w:r>
        <w:t>La recourante conteste le droit de visite sur l’enfant B.T.________ en tant qu’il implique que celle-ci passe la nuit chez son père.</w:t>
      </w:r>
    </w:p>
    <w:p>
      <w:r>
        <w:rPr>
          <w:b/>
        </w:rPr>
        <w:t>E. 3.2.1</w:t>
      </w:r>
    </w:p>
    <w:p>
      <w:r>
        <w:t>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w:t>
      </w:r>
    </w:p>
    <w:p>
      <w:r>
        <w:t>- 22 -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5A_53/2017 du 23 mars 2017 consid. 5.1 et les références citées ; Meier/Stettler, op. cit., nn. 752 ss, pp. 486 ss et les références citées). Le Tribunal fédéral relève à cet égard qu’il est unanimement reconnu que le rapport de l’enfant avec ses deux parents est essentiel et qu’il peut jouer un rôle décisif dans le processus de recherche d’identité de l’enfant (TF 5A_184/2017 du 9 juin 2017 consid. 4.1 ; ATF 127 III 295 consid. 4a ; ATF 123 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les références citées) ; il variera en fonction de son âge, de sa santé physique et psychique ainsi que de la relation qu'il entretient avec l'ayant droit (Meier/Stettler, op. cit., n. 765, p. 500 et les références citées). Il faut en outre prendre en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 (Meier/Stettler, op. cit., n. 766, pp. 500 et 501 et les références citées). Des conditions particulières pour l’exercice du droit de visite peuvent en outre être imposées (Hegnauer, op. cit., n. 19.16, p. 114). Ainsi, il est possible de limiter l’exercice du droit de visite, soit par la mise en place de modalités particulières. Pour imposer de telles modalités, il faut des indices concrets</w:t>
      </w:r>
    </w:p>
    <w:p>
      <w:r>
        <w:t>- 23 - de mise en danger du bien de l’enfant (Meier/Stettler, op. cit., n. 790 ss, pp. 521 ss).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w:t>
      </w:r>
    </w:p>
    <w:p>
      <w:r>
        <w:rPr>
          <w:b/>
        </w:rPr>
        <w:t>E. 3.2.2</w:t>
      </w:r>
    </w:p>
    <w:p>
      <w:r>
        <w:t>La réglementation du droit de visite ne saurait dépendre uniquement de la volonté de l’enfant ; il faut déterminer, dans chaque cas particulier, pourquoi celui-ci adopte une attitude défensive à l’endroit du parent qui n’a pas la garde et si l’exercice du droit de visite risque réellement de porter préjudice à son intérêt (ATF 127 III 295 consid. 4a ; TF 5A_107/2007 du 16 novembre 2007 consid. 3.2). On peut en faire abstraction notamment lorsque l’attitude négative de l’enfant est essentiellement influencée par celle du parent titulaire du droit de garde (TF 5C.250/2005 du 3 janvier 2006 consid.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consid. 3.2 ; TF 5A_716/2010 du 23 février 2011 consid. 4, in FamPra.ch 2011 p. 491. Certes, le Tribunal</w:t>
      </w:r>
    </w:p>
    <w:p>
      <w:r>
        <w:t>- 25 - fédéral a constamment souligné que le rapport de l’enfant avec ses deux parents est essentiel et peut jouer un rôle décisif dans le processus de sa recherche d’identité.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et à réitérées reprises de refuser ce droit de visite. La fixation d’un droit de visite au mépris du refus de l’enfant contreviendrait sinon tant à la finalité du droit aux relations personnelles qu’au droit de la personnalité de l’enfant (TF 5A_107/2007 précité consid.</w:t>
      </w:r>
    </w:p>
    <w:p>
      <w:r>
        <w:rPr>
          <w:b/>
        </w:rPr>
        <w:t>E. 3.2.3</w:t>
      </w:r>
    </w:p>
    <w:p>
      <w:r>
        <w:t>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2017, n. 5.18, p.164).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le tout, CCUR 13 février 2014/30).</w:t>
      </w:r>
    </w:p>
    <w:p>
      <w:r>
        <w:rPr>
          <w:b/>
        </w:rPr>
        <w:t>E. 3.3</w:t>
      </w:r>
    </w:p>
    <w:p>
      <w:r>
        <w:t>En l’espèce, ni la recourante ni aucun des nombreux intervenants, que ce soit la médiatrice familiale [...], la [...] et le [...] en charge des enfants auprès du Centre [...], l’assistante sociale pour la protection des mineurs [...] auprès de la DGEJ, l’assistante [...] auprès [...], le Dr L.________, psychiatre de l’intimé, et les médecins [...][...] de l’UTad, ne prétend pas que les enfants sont en danger chez leur père. B.T.________ et A.T.________ ont passé du temps en journée avec lui sans surveillance,</w:t>
      </w:r>
    </w:p>
    <w:p>
      <w:r>
        <w:t>- 26 - et cela depuis des années. Il est ainsi temps d’élargir le droit de visite à la nuit. A.T.________ n’a pas d’angoisses, au contraire de sa sœur. Pourtant, selon les retranscriptions des auditions des enfants, ces derniers ne manifestent aucune crainte de leur père. Les angoisses de B.T.________ sont sans doute liées au manque d’habitude et à la nouveauté. Lors d’un récent essai, qui était la deuxième nuit passée chez le père, la mère est parvenue à rassurer sa fille par téléphone. Il est temps que la recourante s’engage davantage pour encourager les enfants dans ce sens. On peut raisonnablement penser que B.T.________ s’habituera vite, qu’elle investira la chambre que son père entreprend d’aménager avec ses enfants et qu’elle la décorera à son goût. Il appartiendra aussi au père – qui a l’autorité parentale conjointe – de gérer ces angoisses, le cas échéant, pour rassurer sa fille. Il s’ensuit que la conclusion de la recourante est rejetée, le grief étant mal fondé et l’appréciation de la première juge ne souffrant aucune critique. 4. La recourante conclut encore à la mise en œuvre d’une thérapie de famille afin de travailler le lien père-enfants et à ce que le Centre [...] dépose un rapport concernant B.T.________ et formule toutes propositions utiles à la fixation du droit de visite de l’enfant avec son père. Une thérapie père-fille serait peut être utile, mais elle ne saurait retarder encore l’élargissement provisoire du droit de visite ; cette question devra être examinée dans le cadre de l’enquête instruite par la juge de paix, étant rappelé que lors de son audition, B.T.________ a déclaré que les séances étaient peu utiles à son avis, que « cela tombait chaque fois quand elle voulait inviter des copines » et qu’elle avait demandé une « pause ». Quant aux propositions concernant le droit de visite, elles sont du ressort de la DGEJ en sa qualité de surveillant judiciaire. Enfin personne ne prétend que B.T.________ souffre d’une pathologie mentale, laquelle justifierait le dépôt d’un rapport à son sujet. Cette seconde conclusion de la recourante doit également être rejetée.</w:t>
      </w:r>
    </w:p>
    <w:p>
      <w:r>
        <w:t>- 27 - 5.</w:t>
      </w:r>
    </w:p>
    <w:p>
      <w:r>
        <w:rPr>
          <w:b/>
        </w:rPr>
        <w:t>E. 4</w:t>
      </w:r>
    </w:p>
    <w:p>
      <w:r>
        <w:t>Par courrier du 24 janvier 2020, Z.________ a notamment requis de la juge de paix la tenue d’une audience, invoquant notamment le fait que la mère avait mis un terme au suivi des enfants aux [...], respectivement auprès de la psychologue [...] s’agissant de B.T.________ et de la Dre [...] pour ce qui concernait A.T.________, que quelques semaines après sa mise en place, le carnet de communication ne lui avait plus été communiqué, qu’il n’était dès lors plus averti d’aucun fait de la vie des enfants et que la médiation avait pris fin pour les raisons invoquées par [...].</w:t>
      </w:r>
    </w:p>
    <w:p>
      <w:r>
        <w:t>- 12 - Par courrier du 11 février 2020, [...], assistante sociale pour la protection des mineurs, a informé la justice de paix que la communication entre Z.________ et C.________ était passablement compliquée et source de tensions et que le père appelait souvent le SPJ pour savoir quels étaient ses droits en lien avec l’autorité parentale conjointe. Par convention signée à l’audience du 19 février 2020 et ratifiée par la juge de paix pour valoir ordonnance de mesures provisionnelles, C.________ et Z.________ se sont engagés à reprendre la médiation auprès de Q.________ et à prendre contact avec elle d’ici la fin du mois de février 2020, à entreprendre un travail de coparentalité auprès des [...] et à prendre contact avec cette structure d’ici au 15 mars 2020, à communiquer désormais les informations concernant leurs enfants B.T.________ et A.T.________ (état de santé, activités parascolaires et religieuses englobant celles à venir, etc.) par courriels en mettant le SPJ en copie, la mère communiquant ces informations chaque soir et le père faisant un retour sur le droit de visite dans les 48 heures suivant celui-ci. Z.________ s’est en outre engagé à financer, paramétrer et remettre un téléphone aux enfants afin qu’ils puissent communiquer avec leur père sans devoir utiliser celui de leur mère. Par décision du même jour, la juge de paix a recommandé aux parties de reprendre une médiation afin d’améliorer leur communication au sujet de leurs enfants. Par courrier du 8 avril 2020, la juge de paix a prié le Centre de [...] de mettre en place le travail thérapeutique que Z.________ et C.________ s’étaient engagés à suivre selon procès-verbal du 19 février 2020 et comprenant la mise en place des modalités des visites entre le père et ses enfants. Par courrier du 9 avril 2020[...], assistante sociale auprès [...], a informé la justice de paix que Z.________ avait confirmé la demande de</w:t>
      </w:r>
    </w:p>
    <w:p>
      <w:r>
        <w:t>- 13 - coparentalité le 6 mars 2020 contrairement à C.________ qui n’avait pas pris contact avec l’unité. Par courrier du 5 mai 2020, le [...] a suggéré des entretiens père-fils qui permettraient à A.T.________ de mieux connaître son père dans une optique d’identification et de relation sereine. Par courrier du 18 mai 2020, le Dr L.________, psychiatre à Yverdon-les-Bains, a certifié qu’il avait suivi Z.________ à sa consultation du</w:t>
      </w:r>
    </w:p>
    <w:p>
      <w:r>
        <w:rPr>
          <w:b/>
        </w:rPr>
        <w:t>E. 4.1</w:t>
      </w:r>
    </w:p>
    <w:p>
      <w:r>
        <w:t>;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5A_184/2017 du 9 juin 2017 consid. 4.1 ; TF 5A_53/2017 du 23 mars 2017 consid. 5.1 et les références citées ; ATF 120 II 229 consid. 3b/aa). En revanche, si le préjudice engendré pour l'enfant par les relations personnelles peut être limité par</w:t>
      </w:r>
    </w:p>
    <w:p>
      <w:r>
        <w:t>- 24 -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5A_184/2017 précité consid. 4.1 ; TF 5A_728/2015 du 25 août 2016 consid. 2.2 ; ATF 122 III 404 consid. 3c). L’établissement d’un droit de visite surveillé nécessite des indices concrets de mise en danger du bien de l’enfant. Dès lors, il convient de faire preuve d’une certaine retenue lors du choix de cette mesure (TF 5A_728/2015 précité consid. 2.2 ; TF 5A_401/2014 du 18 août 2014 consid. 3.2.2 ; Meier/Stettler, op. cit.,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w:t>
      </w:r>
    </w:p>
    <w:p>
      <w:r>
        <w:rPr>
          <w:b/>
        </w:rPr>
        <w:t>E. 5</w:t>
      </w:r>
    </w:p>
    <w:p>
      <w:r>
        <w:t>A l’audience du 4 novembre 2020, les parties ont déclaré que depuis la précédente audience, la médiation s’était interrompue du fait de la mère et qu’il avait été mis un terme au passage par le Point Rencontre, que la communication entre les parents par courriels et celle entre les enfants et leur père au téléphone était inexistante, que pour diverses raisons, le père n’avait pas vu ses enfants en août et septembre 2020 puis les avaient eus auprès de lui deux dimanches en octobre. Z.________ a requis que son droit de visite soit fixé provisoirement les 21 et 22 novembre de 8h30 à 18h30, du 19 au 20 décembre selon les mêmes horaires, le 24 décembre 2020 de 10h00 à 20h00 et du 26 au 27 décembre 2020 de 9h00 à 18h30, puis du 2 au 3 janvier 2021 de 8h30 à</w:t>
      </w:r>
    </w:p>
    <w:p>
      <w:r>
        <w:t>- 16 - 18h30 et à partir du 3 janvier 2021, un week-end sur deux du samedi matin à 8h30 au dimanche à 18h30 ainsi que le mercredi après-midi dès la sortie de l’école jusqu’à 17h45. S’agissant des nuits comprises dans l’exercice du droit de visite, Z.________ a précisé qu’ « au début c’était difficile pour B.T.________ de dormir partout et que son frère ne voulait pas venir si elle ne venait pas car ils étaient très fusionnels. Néanmoins elle a grandi et c’est désormais plus facile. Il sait que la première nuit sera difficile pour tout le monde mais qu’après, il n’a aucun doute sur le fait que cela se passera bien. » Confirmant qu’elle n’avait jamais eu l’impression que les enfants étaient en danger avec leur père, C.________ a indiqué que B.T.________ et A.T.________ ne voulaient pas dormir chez lui et qu’elle ne voulait pas prendre la responsabilité d’une décision pour eux. Elle concluait dès lors à titre provisionnel à l’octroi d’un droit de visite d’un week-end sur deux, pour autant que les enfants soient d’accord de passer la nuit chez leur père, à défaut un jour du week-end à quinzaine ainsi qu’un mercredi après-midi sur deux. O.________ a rappelé que la DGEJ avait un rôle de surveillance, que de manière générale la communication entre les parents était compliquée, que des aménagements avaient été tentés mais n’avaient pas tenu sur la longueur, que la médiation était également au point mort, qu’il n’y avait pas de contre-indication à l’exercice usuel des relations personnelles de Z.________ et que la progression suggérée pour le droit de visite lui paraissait adéquate. Les enfants ont été entendus le 30 novembre 2020. A la question de l’assesseur sur ses souhaits quant aux visites chez son père, B.T.________ a dit ne « pas trop vouloir aller dormir chez lui », précisant qu’elle aimerait aller chez lui pas plus d’une fois par semaine et que son hésitation à répondre tenait au fait qu’elle ne voulait pas « rendre triste son papa » ni « abandonner la famille de sa mère ». Elle a déclaré que chez son père, elle ne se sentait pas trop chez elle, qu’elle n’avait pas dormi chez lui depuis la séparation de ses parents, qu’il lui était arrivé de dormir chez ses grands-parents dans la même chambre que son père et qu’elle se souvenait qu’elle n’arrivait pas à bien dormir. Au rappel du fait que son père préparait avec eux une chambre pour elle et son frère, ce qu’elle admettait en disant qu’elle était « forte en décoration », elle avait</w:t>
      </w:r>
    </w:p>
    <w:p>
      <w:r>
        <w:t>- 17 - rétorqué que « cela ne servait à rien d’aménager une chambre si on n’avait pas envie d’y aller ». Elle a ajouté qu’avec son père, beaucoup d’activités étaient organisées (Jump-Park, Skate-Park etc.), ce qu’elle appréciait, mais qu’il ne se rendait pas toujours disponible, que c’était souvent son grand-père qui faisait les trajets lorsqu’ils se rendaient au club où son père entraînait une équipe de foot, qu’elle s’entendait bien avec son équipe mais qu’elle n’aimait pas voir tous ces matchs de foot et qu’elle avait des amis tant [...] [...]. Quant aux téléphones hebdomadaires de son père, c’était toujours lui qui appelait les semaines où ils ne se voyaient pas le mercredi et elle appréciait ces échanges en fonction de ce qui se disait (« La dernière fois, nous n’avons parlé que des visites… et pourquoi je ne voulais pas aller. Je n’ai pas aimé »). S’agissant enfin de la psychologue qui pouvait l’aider, B.T.________ a indiqué « qu’ils ne faisaient que jouer », que les séances étaient peu utiles à son avis, que « cela tombait chaque fois quand elle voulait inviter des copines » et qu’elle avait demandé une « pause ». Pour sa part, A.T.________ a indiqué que dans l’idéal, il souhaiterait aller chez son père le mercredi après-midi chaque semaine ou toutes les deux semaines et le samedi à quinzaine, sans y passer la nuit, avec sa sœur. Il ne souhaitait pas dormir chez son père car il n’en avait plus l’habitude. Il ne se souvenait pas de la dernière fois où il avait dormi chez lui, où il devrait partager sa chambre avec sa sœur alors que chez leur mère, ils avaient des chambres traversantes, mais il s’entendait très bien avec B.T.________ et ce n’était pas un vrai problème. Par courrier du 17 décembre 2020, la Dre [...] a indiqué à la juge de paix que B.T.________, dont elle était la pédiatre, était très angoissée et en rupture de lien avec son père, qu’il y avait eu des épisodes dans le passé où elle s’était sentie délaissée, seule et responsable de son frère dans l’appartement de leur père, qu’elle avait peur de se retrouver à nouveau toute seule et ne faisait pas confiance à son père. Elle n’était pas opposée à voir son père, mais se sentait très angoissée à l’idée de passer une nuit chez lui. Elle avait même émis des pensées suicidaires adressées à une camarade de classe sur Whatsapp. Elle présentait des cauchemars depuis plus d’un an l’empêchant souvent de bien dormir et malgré un suivi psychologique depuis 2019, elle n’allait</w:t>
      </w:r>
    </w:p>
    <w:p>
      <w:r>
        <w:t>- 18 - pas mieux. Dans ce contexte familial complexe, une thérapie familiale serait souhaitable avant d’imposer à B.T.________ ce nouveau règlement des visites chez son père et de travailler cette relation pour y remédier. Par courrier du 4 janvier 2020, la [...] a précisé que [...] était venue à la consultation du 16 décembre 2020 avec sa grand-mère maternelle et que « les propos quant à son angoisse venaient de sa propre bouche ». En d roit : 1. 1.1 Le recours est dirigé contre une ordonnance de mesures provisionnelles du juge de paix statuant sur les relations personnelles d’un parent à l’égard d’enfants mineurs. 1.2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w:t>
      </w:r>
    </w:p>
    <w:p>
      <w:r>
        <w:t>- 19 -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(Droese/Steck, Basler Kommentar, op. cit., n. 42 ad 450a CC, p. 2825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1.3 En l’espèce, motivé et interjeté en temps utile par la mère des enfants mineurs concernés, partie à la procédure, le recours est recevable. Il en va de même des pièces produites en deuxième instance, si tant est qu’elles ne figurent pas déjà au dossier.</w:t>
      </w:r>
    </w:p>
    <w:p>
      <w:r>
        <w:t>- 20 - 1.4 Le recours étant manifestement mal fondé, au vu des considérations qui seront développées ci-après, il a été renoncé à interpeller l’autorité de protection (art. 450d CC) et à demander à la DGEJ de se déterminer autrement que sur le courrier de la recourante du 22 janvier 2021.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2.3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w:t>
      </w:r>
    </w:p>
    <w:p>
      <w:r>
        <w:t>- 21 - protection de l'enfant ou le tiers qui en a été chargé, à moins que son âge ou d'autres justes motifs ne s'y opposent. 2.4 En l'espèce, la décision a été rendue par la juge de paix qui a fondé sa compétence sur les art. 275 al. 1 CC et 5 LVPAE. Ce magistrat a procédé à l’audition des parties lors de son audience du 4 novembre 2020. Les enfants B.T.________ et A.T.________ ont été entendus par l’assesseur sur délégation de la juge de paix le 30 novembre 2020. Les règles de procédure ci-dessus rappelées ayant été respectées, la décision entreprise est formellement correcte et peut être examinée sur le fond. S’estimant suffisamment renseignée, la Chambre des curatelles ne procèdera pas à l’audition des enfants comme le requérait la recourante à titre de mesure d’instruction. 3.</w:t>
      </w:r>
    </w:p>
    <w:p>
      <w:r>
        <w:rPr>
          <w:b/>
        </w:rPr>
        <w:t>E. 5.1</w:t>
      </w:r>
    </w:p>
    <w:p>
      <w:r>
        <w:t>En conclusion, le recours est rejeté.</w:t>
      </w:r>
    </w:p>
    <w:p>
      <w:r>
        <w:rPr>
          <w:b/>
        </w:rPr>
        <w:t>E. 5.2.1</w:t>
      </w:r>
    </w:p>
    <w:p>
      <w:r>
        <w:t>Les parties ont requis d’être mises au bénéfice de l’assistance judiciaire pour la procédure de recours.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rPr>
          <w:b/>
        </w:rPr>
        <w:t>E. 5.2.2</w:t>
      </w:r>
    </w:p>
    <w:p>
      <w:r>
        <w:t>Quand bien même le recours est rejeté, il apparaît que les échanges d’écritures en lien avec la requête d’effet suspensif rendaient l’assistance d’un conseil utile. On ne saurait en tout cas soutenir que la cause était dénuée de chances de succès au vu des échanges entre les conseils des parties. Les conditions précitées étant ainsi remplies, il y a lieu d’accorder à C.________ le bénéfice de l’assistance judiciaire pour la procédure de recours avec effet au 14 décembre 2020 et de désigner Me Rachel Rytz en qualité de conseil d’office de la recourante. En sa qualité de conseil d'office de la recourante, Me Rytz a droit à une rémunération équitable pour ses opérations et débours. Le 3 février 2021, elle a déposé une liste d'opérations récapitulant ses activités déployées dans le cadre de la procédure de deuxième instance, faisant état de 9.54 heures, qui peuvent être admises. Il s’ensuit qu’au tarif horaire de l'avocat de 180 fr. (art. 2 al. 2 let. b RAJ [règlement du 7 décembre 2010 sur l’assistance judiciaire en matière civile ; BLV 211.02.03]), Me Rytz a droit à une indemnité d'office d'un montant de 2'208 fr. 35, soit 1'800 fr. d’honoraires (9.54 x 180), 36 fr. de débours (2 % x 1’800 ; art. 3bis al. 1 RAJ) et 372 fr. 35 de TVA sur le tout (7,7 %).</w:t>
      </w:r>
    </w:p>
    <w:p>
      <w:r>
        <w:t>- 28 -</w:t>
      </w:r>
    </w:p>
    <w:p>
      <w:r>
        <w:rPr>
          <w:b/>
        </w:rPr>
        <w:t>E. 5.2.3</w:t>
      </w:r>
    </w:p>
    <w:p>
      <w:r>
        <w:t>Il y a également lieu d’accorder à Z.________ le bénéfice de l’assistance judiciaire pour la procédure de recours avec effet au 22 décembre 2020 et de désigner Me Laurent Mösching en qualité de conseil d’office de l’intimé, les conditions de l’art. 117 CPC étant pareillement remplies. En sa qualité de conseil d'office de l’intimé, Me Mösching a droit à une rémunération équitable pour ses opérations et débours. Sa liste d’opérations reçue le 12 avril 2021, laquelle récapitule ses activités déployées dans le cadre de la procédure de deuxième instance, fait état de 7.28 heures, qui peuvent être admises. Il s’ensuit qu’au tarif horaire de l'avocat de 180 fr., Me Mösching a droit à une indemnité d'office d'un montant de 1'476 fr. 45, soit 1'344 fr. d’honoraires (7.28 x 180), 26 fr. 88 fr. de débours (2 % x 1’344) et 105 fr. 55 de TVA sur le tout. S’étant par ailleurs déterminé par l’intermédiaire de son conseil sur la requête d’effet suspensif contenue dans le recours, également rejetée, l’intimé a droit à des dépens de deuxième instance qu’il convient d’arrêter à 1’800 francs. Les frais judiciaires de deuxième instance (art. 74a al. 1 TFJC [tarif du 28 septembre 2010 des frais judiciaires civils ; BLV 270.11.5), arrêtés à 800 fr., dont 200 fr. concernent la décision sur l’effet suspensif, sont mis à la charge de la recourante mais provisoirement laissés à la charge de l’Etat.</w:t>
      </w:r>
    </w:p>
    <w:p>
      <w:r>
        <w:rPr>
          <w:b/>
        </w:rPr>
        <w:t>E. 5.2.4</w:t>
      </w:r>
    </w:p>
    <w:p>
      <w:r>
        <w:t>Les bénéficiaires de l'assistance judiciaire sont, dans la mesure de l'art. 123 CPC, tenus au remboursement de l'indemnité à leur conseil d'office, respectivement des frais judiciaires, provisoirement laissés à la charge de l'Etat.</w:t>
      </w:r>
    </w:p>
    <w:p>
      <w:r>
        <w:t>- 29 - Par ces motifs, la Chambre des curatelles du Tribunal cantonal, statuant à huis clos, prononce : I. Le recours est rejeté. II. La décision est confirmée. III. L’assistance judiciaire est accordée à la recourante C.________, Me Rachel Rytz étant désignée comme conseil d’office pour la procédure de recours dès le 14 décembre 2020. IV. L'indemnité d’office de Me Rachel Rytz, conseil d’office de C.________, est arrêtée à 2'208 fr. 35 (deux mille deux cent huit francs et trente-cinq centimes), TVA et débours compris. V. L’assistance judiciaire est accordée à l’intimé Z.________, Me Laurent Mösching étant désigné comme conseil d’office pour la procédure de recours dès le 22 décembre 2020. VI. L'indemnité d’office de Me Laurent Mösching, conseil d’office de Z.________, est arrêtée à 1'476 fr. 45 (mille quatre cent septante-six francs et quarante-cinq centimes), TVA et débours compris. VII. La recourante C.________ versera à l’intimé Z.________ la somme de 1’800 fr. (mille huit cents francs) à titre de dépens de deuxième instance. VIII. Les frais judiciaires de deuxième instance, arrêtés à 800 fr. (huit cents francs) et mis à la charge de la recourante C.________, sont provisoirement laissés à la charge de l’Etat.</w:t>
      </w:r>
    </w:p>
    <w:p>
      <w:r>
        <w:t>- 30 - IX. Les bénéficiaires de l'assistance judiciaire sont, dans la mesure de l'art. 123 CPC, tenus au remboursement de l'indemnité à leur conseil d'office, respectivement des frais judiciaires, provisoirement laissés à la charge de l'Etat. X. L’arrêt est exécutoire. Le président : La greffière : Du L'arrêt qui précède, dont la rédaction a été approuvée à huis clos, est notifié à : - Me Rachel Rytz (pour C.________), - Me Laurent Mösching (pour Z.________), - Direction générale de l’enfance et de la jeunesse, Unité Evaluation et Missions spécifiques, et communiqué à : - Service de protection de la jeunesse, Unité d’appui juridique,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- 31 - être déposés devant le Tribunal fédéral dans les trente jours qui suivent la présente notification (art. 100 al. 1 LTF). La greffière :</w:t>
      </w:r>
    </w:p>
    <w:p>
      <w:r>
        <w:rPr>
          <w:b/>
        </w:rPr>
        <w:t>E. 10</w:t>
      </w:r>
    </w:p>
    <w:p>
      <w:r>
        <w:t>février 2014 consid. 6.1 ; TF 5A_448/2008 du 2 octobre 2008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