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B716.006075 vom 12. April 2016</w:t>
      </w:r>
    </w:p>
    <w:p>
      <w:r>
        <w:t>VD Tribunal cantonal, 2016-04-12, FR</w:t>
      </w:r>
    </w:p>
    <w:p>
      <w:r>
        <w:rPr>
          <w:b/>
        </w:rPr>
        <w:t xml:space="preserve">Quelle: </w:t>
      </w:r>
      <w:r>
        <w:t>https://mcp.opencaselaw.ch/entscheid/vd_gerichte_B716.006075</w:t>
      </w:r>
    </w:p>
    <w:p>
      <w:r>
        <w:t>FR: VD_GERICHTE B716.006075 du 12 avril 2016</w:t>
      </w:r>
    </w:p>
    <w:p>
      <w:r>
        <w:t>IT: VD_GERICHTE B716.006075 del 12 aprile 2016</w:t>
      </w:r>
    </w:p>
    <w:p>
      <w:pPr>
        <w:pStyle w:val="Heading2"/>
      </w:pPr>
      <w:r>
        <w:t>Erwägungen</w:t>
      </w:r>
    </w:p>
    <w:p>
      <w:r>
        <w:rPr>
          <w:b/>
        </w:rPr>
        <w:t>E. 1</w:t>
      </w:r>
    </w:p>
    <w:p>
      <w:r>
        <w:t>K.________, née le [...] 1976, et A.M.________, né le [...] 1975, tous deux de nationalité française, sont les parents non mariés de l’enfant B.M.________, né le [...] 2013 à Paris. Ils exercent en commun l’autorité parentale sur leur fils, qu’ils ont reconnu 15 janvier 2013 à Paris, dans le onzième arrondissement, devant l’officier de l’état civil. Le 1er juin 2014, K.________ et A.M.________ se sont installés à Renens, ce dernier ayant trouvé dans la région lausannoise un emploi auprès de la société [...].K.________ a alors quitté son travail en France pour suivre son compagnon en Suisse avec leur enfant B.M.________. Le 16 septembre 2014, K.________ et A.M.________ ont signé une convention de pacte civil de solidarité (P.A.C.S.) de droit français auprès du Tribunal d’Instance de Paris. Dès son arrivée en Suisse, K.________ a entrepris des démarches pour trouver un emploi. Celles-ci demeurant vaines, elle s’est exclusivement consacrée à l’éducation de son fils, se rendant souvent avec son fils à Paris où vit sa famille dont elle est très proche. B.M.________ est régulièrement suivi depuis sa naissance par le Dr [...], pédiatre à Paris. Début 2015, A.M.________ a perdu son emploi chez [...], mais a caché à sa compagne son licenciement en faisant semblant, durant trois mois, de se rendre sur son lieu de travail. En juin 2015, confrontée à des difficultés de couple et se sentant isolée en Suisse, K.________ s’est inscrite à un concours organisé par la Mairie de Paris en vue de l’obtention d’un poste de secrétaire dans l’administration parisienne. Dès le 29 juillet 2015, A.M.________ a perçu des indemnités de l’assurance-chômage (son délai-cadre échoit le 28 juillet 2017) ; en septembre 2015, il a postulé à quatre reprises pour des emplois à Paris. Les tensions dans le couple n’ont cessé de croître, nécessitant l’intervention de la force publique. En novembre 2015, A.M.________ a</w:t>
      </w:r>
    </w:p>
    <w:p>
      <w:r>
        <w:t>- 5 - enfermé sa compagne sur le balcon et a fait une tentative de suicide avec une corde d’escalade, alors que l’enfant était présent dans l’appartement. Le 6 janvier 2016, K.________ et A.M.________ ont résilié le bail à loyer de leur appartement sis à Renens. Par lettre du 8 janvier 2015, [...], Direction immobilier, a accusé réception de la résiliation, mais les a informés que la prochaine échéance légale de leur contrat était le 30 juin 2016.</w:t>
      </w:r>
    </w:p>
    <w:p>
      <w:r>
        <w:rPr>
          <w:b/>
        </w:rPr>
        <w:t>E. 1.1</w:t>
      </w:r>
    </w:p>
    <w:p>
      <w:r>
        <w:t>Le recours est dirigé contre une ordonnance de mesures provisionnelles du juge de paix interdisant provisoirement le changement du lieu de résidence de l’enfant B.M.________ et disant que K.________ est provisoirement détentrice de la garde de l’enfant, A.M.________ exerçant provisoirement un droit de visite médiatisé à son encontre.</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1 LVPAE) l’occasion de prendre position (al. 1), cette autorité pouvant, au lieu de prendre position, reconsidérer sa décision (al.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- 11 -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1.3</w:t>
      </w:r>
    </w:p>
    <w:p>
      <w:r>
        <w:t>En l’espèce, interjeté en temps utile par la mère du mineur concerné, partie à la procédure, le présent recours est recevable. Il en va de même des pièces produites en deuxième instance par chacune des parties, si tant est qu’elles ne figuraient pas déjà au dossier de première instance. L’autorité de première instance s’est intégralement référée au contenu de son ordonnance.</w:t>
      </w:r>
    </w:p>
    <w:p>
      <w:r>
        <w:rPr>
          <w:b/>
        </w:rPr>
        <w:t>E. 2</w:t>
      </w:r>
    </w:p>
    <w:p>
      <w:r>
        <w:t>avril 2016 était maintenue.</w:t>
      </w:r>
    </w:p>
    <w:p>
      <w:r>
        <w:t>- 10 - En d roit : 1.</w:t>
      </w:r>
    </w:p>
    <w:p>
      <w:r>
        <w:rPr>
          <w:b/>
        </w:rPr>
        <w:t>E. 2.1</w:t>
      </w:r>
    </w:p>
    <w:p>
      <w:r>
        <w:t>Dès lors que la cause présente un élément d’extranéité, il incombe au juge de vérifier la compétence des autorités suisses et le droit applicable.</w:t>
      </w:r>
    </w:p>
    <w:p>
      <w:r>
        <w:t>- 12 -</w:t>
      </w:r>
    </w:p>
    <w:p>
      <w:r>
        <w:rPr>
          <w:b/>
        </w:rPr>
        <w:t>E. 2.2</w:t>
      </w:r>
    </w:p>
    <w:p>
      <w:r>
        <w:t>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et le 1er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w:t>
      </w:r>
    </w:p>
    <w:p>
      <w:r>
        <w:t>- 13 -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 TF 5C.272/2000 et 5C.273/2000 du 12 février 2001 consid. 3b et réf.; ATF 129 III 288 consid. 4.1). En l’occurrence, au moment du dépôt de la requête de K.________, les parties et leur fils étaient domiciliés à Renens et les autorités suisses étaient compétentes pour prononcer des mesures portant sur la protection de la personne de l’enfant soumis à l’autorité parentale conjointe des parties (art. 372 CCfr [Code civil français du 21 mars 1804, modifié par Loi n° 2011-1862 du 13 décembre 2011 - art. 21]) et appliquer leur loi.</w:t>
      </w:r>
    </w:p>
    <w:p>
      <w:r>
        <w:rPr>
          <w:b/>
        </w:rPr>
        <w:t>E. 2.3</w:t>
      </w:r>
    </w:p>
    <w:p>
      <w:r>
        <w:t>Selon l’art. 275 al. 1 CC, l’autorité de protection de l’enfant du domicile de l’enfant est compétente pour prendre les mesures nécessaires concernant les relations personnelles ; la même compétence appartient en outre à l’autorité de l’enfant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t>- 14 - En l’espèce, la décision a été rendue par le juge de paix, qui a fondé sa compétence sur l’art. 275 al. 1 CC. Ce magistrat a procédé à l’audition des parents lors de son audience du 2 mars 2016 de sorte que le droit d’être entendu de ceux-ci a été respecté (cf. art. 447 al. 1 CC). Vu son jeune âge, il a été renoncé à l’audition de l’enfant (art. 314a al. 1 CC). La décision attaquée est donc formellement correcte et peut être examinée sur la fond par la cour de céans.</w:t>
      </w:r>
    </w:p>
    <w:p>
      <w:r>
        <w:rPr>
          <w:b/>
        </w:rPr>
        <w:t>E. 3.1</w:t>
      </w:r>
    </w:p>
    <w:p>
      <w:r>
        <w:t>Invoquant la violation du droit ainsi que la constatation inexacte des faits, l’appelante fait grief au premier juge de lui avoir interdit provisoirement de changer le lieu de résidence de son fils vers la France.</w:t>
      </w:r>
    </w:p>
    <w:p>
      <w:r>
        <w:rPr>
          <w:b/>
        </w:rPr>
        <w:t>E. 3.2.1</w:t>
      </w:r>
    </w:p>
    <w:p>
      <w:r>
        <w:t>Les nouvelles dispositions du Code civil relatives à l’autorité parentale sont entrées en vigueur le 1er juillet 2014 (RO 2014 p. 357). Selon l’art. 12 al. 1 Tit. Fin. CC, elles sont d’application immédiate. La garde est une composante de l’autorité parentale (sous l’ancien droit : ATF 136 III 353 consid. 3.2 ; sous le nouveau droit : TF_5A266/2015 du 24 juin 2015 et les réf. citées). Aux termes de l’art. 301a CC, l’autorité parentale inclut le droit de déterminer le lieu de résidence de l’enfant. L’effet a contrario de cette disposition l’emporte lorsque seul l’un des parents exerce l’autorité parentale. S’il entend modifier le lieu de résidence de l’enfant, ce parent en décide seul et le parent n’ayant pas l’autorité parentale ne doit pas pouvoir intervenir pour empêcher le déplacement, qu’il ait lieu en Suisse ou vers l’étranger (Bucher, in La famille dans les relations transfrontalières, Bâle 2013, p. 56). Le nouvel art. 301a CC précise le lien entre l’autorité parentale et le droit de déterminer le lieu de résidence, qui fait partie intégrante de l’autorité parentale. Lorsque les parents de l’enfant sont</w:t>
      </w:r>
    </w:p>
    <w:p>
      <w:r>
        <w:t>- 15 - tous les deux titulaires de l’autorité parentale, le droit de décider du lieu de résidence de l’enfant leur appartient conjointement (art. 301a al. 1 CC), de sorte que les père et mère doivent décider ensemble de ce lieu, sous réserve des changements qui n’ont pas de conséquence significative dans l’exercice de l’autorité parentale par l’autre parent et pour les relations personnelles (art. 301a al. 2 CC ). Cette disposition vise à éviter que l’un des parents puisse mettre l’autre parent et l’enfant devant un fait accompli. Le droit de déterminer le lieu de résidence de l’enfant appartient en conséquence aux détenteurs de l’autorité parentale, à moins qu’une mesure de retrait fondée sur l’art. 310 CC n’ait été prononcée (Message du Conseil fédéral du 16 novembre 2011 à l’appui d’une révision du Code civil suisse (Autorité parentale) [Message], FF 2011 pp. 8344-8345 ; Meier/Stettler, Droit de la filiation, 5e éd., 2014 [cité ci-après : Meier/Stettler, Droit de la filiation], nn. 871 et 872, p. 581). Le déménagement d’un parent à l’étranger fait l’objet d’une règle spéciale à l’art. 301a al. 2 let. a CC. A la différence d’un déménagement en Suisse, un départ à l’étranger n’est possible qu’avec le consentement de l’autre parent ou sur décision du juge ou de l’autorité de protection, même s’il n’en résulte pas de conséquence significative pour l’exercice de l’autorité parentale. Il est ainsi tenu compte du fait qu’un déménagement à l’étranger s’accompagne souvent d’un déplacement de la juridiction à l’étranger et que toute décision prise en Suisse à propos de l’autorité parentale deviendrait alors plus difficile à faire appliquer. Le critère est objectif, de sorte que même si le déplacement ne représente que quelques kilomètres, le changement d’ordre juridique et de juridiction applicables à l’enfant suffit pour mettre en œuvre l’art. 301a al. 2 CC, les conséquences effectives sur l’exercice des droits parentaux ne jouant pas de rôle (Message, FF 2011 p. 8345 ; Meier/Stettler, Droit de la filiation, n. 877, p. 587 ; Schwenzer/Cottier, Basler Kommentar, op. cit., n. 8 ad art. 301a CC, p. 1672). Les art. 273 ss CC relatifs aux relations personnelles d’un enfant avec ses père et mère ou des tiers n’ont pas été modifiés par l’entrée en vigueur du nouveau droit, de sorte que la doctrine et la</w:t>
      </w:r>
    </w:p>
    <w:p>
      <w:r>
        <w:t>- 16 - jurisprudence rendues avant le 1er janvier 2013 conservent toute leur pertinence. Le père ou la mère qui ne détient pas l’autorité parentale ou la garde ainsi que l’enfant mineur ont réciproquement le droit d’entretenir les relations personnelles indiquées par les circonstances (art. 273 al. 1 et</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TF 5A_520/2008 du 1er septembre 2008 consid. 3 ; cf. art. 261 al. 1 CPC).</w:t>
      </w:r>
    </w:p>
    <w:p>
      <w:r>
        <w:rPr>
          <w:b/>
        </w:rPr>
        <w:t>E. 3.3</w:t>
      </w:r>
    </w:p>
    <w:p>
      <w:r>
        <w:t>L’autorité de protection a considéré que l’intérêt de l’enfant à être protégé de tout transfert inapproprié au stade des mesures provisionnelles primait celui de la requérante à s’établir immédiatement à Paris. Elle a retenu que la psychologue qui suivait actuellement l’intimé avait constaté une amélioration de son état de santé psychique et que celui-ci ne présentait pas de danger pour l’enfant, mais que, compte tenu des récents évènements et de la situation stressante à laquelle le père sera confronté (résiliation du bail pour fin juin et fin des allocations de l’assurance-chômage fin juillet), un droit de visite par le Point Rencontre devait être confirmé, la mère étant détentrice provisoire du droit de garde.</w:t>
      </w:r>
    </w:p>
    <w:p>
      <w:r>
        <w:rPr>
          <w:b/>
        </w:rPr>
        <w:t>E. 3.4</w:t>
      </w:r>
    </w:p>
    <w:p>
      <w:r>
        <w:t>En novembre 2015, le père a fait une tentative de suicide alors que son fils était présent. Au début de sa prise en charge, en janvier 2016, il présentait une tension psychique importante. Les médecins ont noté une évolution favorable au fur et à mesure du suivi, avec une nette diminution</w:t>
      </w:r>
    </w:p>
    <w:p>
      <w:r>
        <w:t>- 21 - de la symptomatologie, mais la situation demeure fragile et l’autorité de protection l’a bien compris puisqu’elle a considéré, bien que son raisonnement – consistant à retenir d’une part que la santé du père reste encore très fragile et d’autre part que cela ne constitue pas un danger pour l’enfant – soit contradictoire, que des mesures devaient être prises pour protéger l’enfant de son père et a instauré un droit de visite médiatisé, en milieu fermé. Dans les circonstances de l’espèce, le recours à l’institution d’un droit de visite médiatisé, et limité dans le temps et l’espace, ne souffre aucune critique et doit être confirmé, d’autant que le père a demandé au Point Rencontre à réduire d’une heure son droit de visite. Par ailleurs, la recourante relève que les parties étaient d’accord pour retourner s’installer à Paris et qu’elles n’ont vécu que très peu de temps en Suisse. L’intimé ne le conteste pas, ayant dans ce but recherché un emploi en France et résilié avec sa compagne le bail du logement familial pour fin juin 2016. La recourante dispose pour sa part à Paris d’un emploi stable en qualité de fonctionnaire et d’un logement de trois pièces meublé, proche de celui de ses parents, alors qu’elle n’a en Suisse ni logement ni situation. En outre, elle a des solutions adéquates et cohérentes pour faire garder son enfant à Paris lorsqu’elle travaille. Quant à la situation du père, elle n’est pas du tout stable ; l’intimé est sans emploi depuis des mois et va devoir traverser une période stressante, l’échéance de son bail et du délai-cadre des indemnités de chômage arrivant à terme. Quant à l’enfant, il est âgé de trois ans, de sorte que l’on peut raisonnablement considérer qu’il n’a pas d’attaches particulières en Suisse, d’autant qu’il est né à Paris, qu’il a la nationalité française, que sa famille vit à Paris, qu’il s’y est rendu régulièrement avec sa mère et qu’il est suivi depuis sa naissance par un pédiatre parisien. Dans ces circonstances, c’est à tort que le premier juge a considéré que l’intérêt de l’enfant à être protégé de tout transfert inapproprié primait celui de la requérante à s’établir immédiatement à Paris. Dans cette ville, il bénéficiera en effet d’un environnement assuré, entouré par sa mère et la famille de celle-ci, alors que ses perspectives en</w:t>
      </w:r>
    </w:p>
    <w:p>
      <w:r>
        <w:t>- 22 - Suisse, du moins à court et moyen terme, paraissent extrêmement précaires et chaotiques, puisqu’il se retrouverait sous la garde de la recourante, sans emploi ni logement. La situation aurait été tout autre si l’intimé avait à tout le moins eu une situation stable (logement, emploi, etc.), qui aurait permis à l’enfant dans demeurer en Suisse dans un environnement sain. Tel n’est pas le cas actuellement et l’intimé n’expose aucun élément qui établisse qu’il a retrouvé, ou qu’il retrouverait rapidement, une situation stable sur les plans de l’emploi, du logement et de la santé, se bornant à critiquer les aménagements mis en place par la recourante à Paris.</w:t>
      </w:r>
    </w:p>
    <w:p>
      <w:r>
        <w:rPr>
          <w:b/>
        </w:rPr>
        <w:t>E. 3.5</w:t>
      </w:r>
    </w:p>
    <w:p>
      <w:r>
        <w:t>Dès lors que les médecins considèrent que la situation de l’intimé demeure fragile et recommandent la poursuite d’un suivi thérapeutique, la limitation des relations personnelles à deux heures à quinzaine à l’intérieur des locaux de Point Rencontre exclusivement respecte le principe de proportionnalité et est conforme à l’intérêt de l’enfant. Partant elle peut être confirmée, sous réserve du lieu de l’exercice de celle-ci, le père exerçant provisoirement son droit de visite par l’intermédiaire du Point Rencontre ACPE 75, Rue de Vaugirard 75 à Paris, qui a confirmé être ouvert aux rencontres parents-enfants les 2ème et 4ème samedis de chaque mois, sauf au mois d’août, pour une durée maximale de deux heures s’agissant de visites à l’intérieur des locaux.</w:t>
      </w:r>
    </w:p>
    <w:p>
      <w:r>
        <w:rPr>
          <w:b/>
        </w:rPr>
        <w:t>E. 4</w:t>
      </w:r>
    </w:p>
    <w:p>
      <w:r>
        <w:t>La recourante reproche encore au premier juge d’avoir considéré que la demande du 4 février 2016 déposée par l’intimé ne semblait pas d’emblée irrecevable ou mal fondée. Cette appréciation peut laisser perplexe, dans la mesure où on ignore comment, sous l’angle procédural, cette « demande » est traitée. Certes peut-on s’interroger sur la suite à donner à celle-ci, l’intimé semblant plutôt solliciter des renseignements auprès de l’autorité de protection. Quoi qu’il en soit, comme le relève à juste titre la recourante, la juge de paix n’a pas formellement statué sur cette demande, si ce n’est qu’elle a exhorté les parties à tenter une médiation.</w:t>
      </w:r>
    </w:p>
    <w:p>
      <w:r>
        <w:t>- 23 -</w:t>
      </w:r>
    </w:p>
    <w:p>
      <w:r>
        <w:rPr>
          <w:b/>
        </w:rPr>
        <w:t>E. 5</w:t>
      </w:r>
    </w:p>
    <w:p>
      <w:r>
        <w:t>En conclusion, le recours de K.________ est admis et l’ordonnance modifiée dans le sens qui précède. Vu l’issue du litige, les frais judiciaires de deuxième instance, arrêtés à 200 fr. (art. 74a al. 4 TFJC tarif du 28 septembre 2010 des frais judiciaires civils ; RSV 270.11.5]) doivent être mis à la charge de l’intimé (art. 106 al. 1 CPC). Des dépens à hauteur de 1'500 fr. seront alloués à la recourante qui obtient gain de cause. Le dispositif de la décision doit être complété en ce sens, conformément à l’art. 334 al. 1 CPC. Par ces motifs, la Chambre des curatelles du Tribunal cantonal, statuant à huis clos, prononce : I. Le recours est admis. II. Les chiffres III et V de la décision sont réformés comme il suit : III. autorise provisoirement K.________ à déplacer le lieu de résidence de l’enfant B.M.________ à Paris (France). V. dit que A.M.________ exercera provisoirement son droit de visite sur B.M.________ par l’intermédiaire du Point Rencontre [...] Paris, deux samedis par mois (les 2ème et 4ème samedis), pour une durée maximale de deux heures, à l’intérieur des locaux exclusivement, en</w:t>
      </w:r>
    </w:p>
    <w:p>
      <w:r>
        <w:t>- 24 - fonction du calendrier d’ouverture et conformément au règlement et aux principes de fonctionnement de Point Rencontre, qui sont obligatoires pour les deux parents ; La décision est confirmée pour le surplus. III. Les frais judiciaires de deuxième instance, arrêtés à 200 fr. (deux cents francs), sont mis à la charge de l’intimé A.M.________. IV. L’intimé A.M.________ versera à la recourante K.________ la somme de 1'500 fr. (mille cinq cents francs) à titre de dépens. V. L'arrêt motivé est exécutoire. La présidente : Le greffier : Du 12 avril 2016 Le dispositif de l'arrêt qui précède est communiqué par écrit aux intéressés. Le greffier : Du</w:t>
      </w:r>
    </w:p>
    <w:p>
      <w:r>
        <w:t>- 25 - L'arrêt qui précède, dont la rédaction a été approuvée à huis clos, est notifié à : - Me Mathieu Genillod (pour K.________), - M. A.M.________), et communiqué à : - Point Rencontre ACPE 75, Rue de Vaugirard 228, 75015 Paris, - Point Rencontre, Ch. des Champs-Courbes 25A, case postale 95, 1024 Ecublens VD - Service de protection de la jeunesse, Unité d’appui juridique, av. de Longemalle 1, 1020 Renens,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