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B517.039724 vom 8. Dezember 2017</w:t>
      </w:r>
    </w:p>
    <w:p>
      <w:r>
        <w:t>VD Tribunal cantonal, 2017-12-08, FR</w:t>
      </w:r>
    </w:p>
    <w:p>
      <w:r>
        <w:rPr>
          <w:b/>
        </w:rPr>
        <w:t xml:space="preserve">Quelle: </w:t>
      </w:r>
      <w:r>
        <w:t>https://mcp.opencaselaw.ch/entscheid/vd_gerichte_B517.039724</w:t>
      </w:r>
    </w:p>
    <w:p>
      <w:r>
        <w:t>FR: VD_GERICHTE B517.039724 du 8 décembre 2017</w:t>
      </w:r>
    </w:p>
    <w:p>
      <w:r>
        <w:t>IT: VD_GERICHTE B517.039724 del 8 dicembre 2017</w:t>
      </w:r>
    </w:p>
    <w:p>
      <w:pPr>
        <w:pStyle w:val="Heading2"/>
      </w:pPr>
      <w:r>
        <w:t>Erwägungen</w:t>
      </w:r>
    </w:p>
    <w:p>
      <w:r>
        <w:rPr>
          <w:b/>
        </w:rPr>
        <w:t>E. 6</w:t>
      </w:r>
    </w:p>
    <w:p>
      <w:r>
        <w:t>Par requête du 16 août 2017, T.________ a demandé l’autorité parentale conjointe sur son fils [...]. Il joignait à son courrier deux pièces (Communication de la naissance de son fils et Autorisation frontalière).</w:t>
      </w:r>
    </w:p>
    <w:p>
      <w:r>
        <w:rPr>
          <w:b/>
        </w:rPr>
        <w:t>E. 7</w:t>
      </w:r>
    </w:p>
    <w:p>
      <w:r>
        <w:t>Par arrêt du 25 septembre 2017, la Cour administrative du tribunal cantonal a rejeté la requête d’T.________ tendant à la récusation de la Juge de paix Marion Zuber.</w:t>
      </w:r>
    </w:p>
    <w:p>
      <w:r>
        <w:rPr>
          <w:b/>
        </w:rPr>
        <w:t>E. 8</w:t>
      </w:r>
    </w:p>
    <w:p>
      <w:r>
        <w:t>Le 25 septembre 2017, [...], Directrice de l’Etablissement primaire de Gland, a adressé à T.________, qui l’avait demandé, un compte rendu écrit de l’entretien du 22 septembre 2017. T.________ s’inquiétant des remarques de la maîtresse d’école dans l’agenda de son fils tout en</w:t>
      </w:r>
    </w:p>
    <w:p>
      <w:r>
        <w:t>- 13 - faisant remarquer qu’il n’avait pas vu l’enfant durant l’été et constatait chez celui-ci des comportements qui n’étaient pas les siens auparavant, l’enseignante [...] l’avait rassuré sur les capacités scolaires de l’enfant, mais avait ajouté que, bien que cela ne relevait pas de sa compétence, elle faisait un gros travail avec [...] sur l’objectif « vivre ensemble » (certains camarades de classe s’étaient plaints du comportement violent de [...] qui les poussait, les bousculait, avait une fois étranglé son voisin de table qui avait dépassé la limite fixée par la maîtresse), l’enfant n’ayant souvent pas conscience de ses actes qui ne lui semblaient pas graves. En annexe à son compte-rendu, la directrice a confirmé que toutes les demandes de congé de la part d’un parent qui n’avait pas l’autorité parentale devaient être documentées et étaient soumises à l’autorisation du parent détenteur de celle-ci (il s’agissait en l’occurrence de la demande de congé du 20 juin 2017 d’T.________).</w:t>
      </w:r>
    </w:p>
    <w:p>
      <w:r>
        <w:rPr>
          <w:b/>
        </w:rPr>
        <w:t>E. 9</w:t>
      </w:r>
    </w:p>
    <w:p>
      <w:r>
        <w:t>Par arrêt du 27 octobre 2017, la Chambre des curatelles a confirmé l’ordonnance du 27 juillet 2017. Elle relevait que si les capacités parentales du recourant n’étaient pas remises en question pour le week- end, autre était la question d'apprécier ses compétences sur une période prolongée de plusieurs semaines ; par ailleurs, compte tenu de la volonté du recourant de faire durer le conflit, notamment en saisissant la juridiction française aux fins de relancer une procédure qu'il supposait plus favorable dans le pays voisin, il convenait d'en rester à la décision prise par le premier juge tant que des éléments supplémentaires n'auraient pas été établis par l'enquête, la situation étant malgré tout inquiétante, en tant qu'une longue période sans volonté de communiquer du père pourrait s'avérer problématique. En d roit :</w:t>
      </w:r>
    </w:p>
    <w:p>
      <w:r>
        <w:t>- 14 - 1. Le recours est dirigé contre une décision du juge de paix refusant d’entrer en matière sur une requête en attribution de l’autorité parentale conjointe.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2017, n. 5.84, p. 182). Conformément à l'art. 450d CC, la Chambre des curatelles donne à la justice de paix (art. 4 al. 1 LVPAE) l'occasion de prendre</w:t>
      </w:r>
    </w:p>
    <w:p>
      <w:r>
        <w:t>- 15 -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1.2 En l’espèce, le recours a été interjeté en temps utile. Les pièces produites en deuxième instance sont recevables, si tant est qu’elles ne figuraient pas déjà au dossier. En tant que le recourant conclut à la nomination par l’autorité de protection d’un curateur à l’enfant, la recevabilité de cette conclusion, au regard de l’objet du litige, peut demeurer indécise au vu de ce qui suit. Le recours étant manifestement infondé (cf. infra), l’autorité de protection n’a pas été interpellée. 2. 2.1 La présente cause revêt un caractère international compte tenu de la nationalité étrangère des parties (TF 5A_445/2016 du 9 décembre 2016 consid. 3.2). Selon l’art. 79 LDIP (Loi fédérale du 18 décembre 1987 sur le droit international privé ; RS 291), les tribunaux suisses de la résidence habituelle de l’enfant ou ceux du domicile et, à défaut de domicile, ceux</w:t>
      </w:r>
    </w:p>
    <w:p>
      <w:r>
        <w:t>- 16 - de la résidence habituelle du parent défendeur sont compétents pour connaître d’une action relative aux relations entre parents et enfant, notamment d’une action relative à l’entretien de l’enfant. Selon la définition qu’en donne en règle générale la jurisprudence, la résidence habituelle (cf. art. 20 al. 1 let. b LDIP) est basée sur une situation de fait et implique la présence physique dans un lieu donné ; la résidence habituelle de l'enfant se détermine ainsi d'après le centre effectif de sa propre vie et de ses attaches (ATF 110 II 119 consid. 3, JdT 1986 I 320 ; TF 5A_809/2012 du 8 janvier 2013 consid. 2.3.3 ; TF 5A_427/2009 du 27 juillet 2009 consid. 3.2, publié in La pratique du droit de la famille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5A_889/2011 du 23 avril 2012 consid. 4.1.2 ; TF 5A_346/2012 du 12 juin 2012 consid. 4.1).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5A_809/2012 du 8 janvier 2013 consid. 2.3.3 ; TF 5A_650/2009 du 11 novembre 2009 consid. 5.2, in SJ 2010 I p. 193 ; TF 5A_346/2012 du 12 juin 2012 consid. 4.1 et les références citées). Un séjour de six mois crée en principe une résidence habituelle, mais celle-ci peut exister également sitôt après le changement du lieu de séjour, si, en raison d’autres facteurs, elle est destinée à être durable et à remplacer le précédent centre d'intérêts (TF 5A_809/2012 du 8 janvier 2013 consid. 2.3.3 ; TF 5A_346/2012 du 12 juin 2012 consid. 4.1 et les références citées ; sur le tout, TF 5A_324/2014 du 9 octobre 2014 consid. 5.2).</w:t>
      </w:r>
    </w:p>
    <w:p>
      <w:r>
        <w:t>- 17 - Par ailleurs, une personne a son domicile dans l’Etat dans lequel elle réside avec l’intention de s’y établir (art. 20 al. 1 let. a LDIP). Cette définition du domicile comporte deux éléments : l'un objectif, la présence physique en un lieu donné ; l'autre subjectif, l'intention d'y demeurer durablement (ATF 137 Ill 593 consid. 3.5 ; ATF 136 II 405 consid. 4.3 ; ATF 135 Ill 49 consid. 6.2 ; cf. également TF 5C.56/2002 du 18 février 2003 consid. 4.2.1, non publié aux ATF 129 III 404, mais à la Revue suisse de droit international et européen [RSDIE] 2003, p. 395). L'intention d'une personne de s'établir durablement en un lieu déterminé ne doit pas être examinée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 ATF 119 II 64 consid. 2b/bb et les références citées ; TF 5C.56/2002 du 18 févier 2003 déjà cité, ibidem). En d’autres termes, ce n’est pas la volonté interne de l’intéressé qui importe, mais exclusivement la manifestation extérieure de sa volonté.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 TF 4C.4/2005 du 16 juin 2005 consid. 4.1, in SJ 2005 I p. 501).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(TF 4A_443/2014 du 2 février 2015 consid. 3.4). Le fait qu’une personne ne soit que tolérée en</w:t>
      </w:r>
    </w:p>
    <w:p>
      <w:r>
        <w:t>- 18 - Suisse, sans être bénéficiaire d’une autorisation de séjour, n’empêche pas la création d’un domicile (ATF 113 II 5 consid. 2). 2.2 En l’espèce, [...] est domicilié à Gland, auprès de sa mère F.________. Il y a son centre de vie et ses attaches depuis de nombreuses années. En tant que Présidente de l’autorité de protection de Nyon (art. 5 al. 1 let. e LVPAE), la juge de paix qui a rendu la décision querellée avait la compétence pour statuer sur la requête du recourant. 3. 3.1 Le recourant fait valoir en substance qu’entre le 12 janvier 2016 et le 16 août 2017, des faits nouveaux importants et durables se sont produits sans qu’ils aient été pris en considération par le premier, ce qui constituerait un déni de justice. Il en veut pour preuve les nombreux courriers (des 16 avril et 25 mai 2016 ; 5 et 6 mars 2017, 17, 18, 19, 30 juin et 3 aout 2017) postérieurs à l’arrêt du 12 janvier 2016 de la Chambre de céans. Dans la mesure où le recourant ne démontre pas ce qui dans ces courriers constituerait des faits nouveaux, il n’y a pas lieu d’en tenir compte, dès lors qu’il lui incombe d’établir la survenance de faits nouveaux et importants qui commandent, pour le bien de l’enfant, qu’il soit renoncé au maintien d’une autorité parentale exclusive. Partant le grief du déni de justice doit être rejeté. 3.2 3.2.1 Le recourant invoque en substance la violation de l’art. 298d al. 1 CC ainsi que des articles 2, 3, 4, 8 et 10 de la Convention du 20 novembre 1989 relative aux droits de l’enfant (RS 0.107). Il fait valoir en particulier et à titre de faits nouveaux une dégradation de l’état de santé psychologique et physique ainsi que des relations sociales de l’enfant. Il en veut pour preuve (cf. pièces 5 à 11) les observations sur le comportement de [...] figurant dans son agenda scolaire, voire des difficultés grandissantes dans ses relations avec ses pairs à l’école. Il</w:t>
      </w:r>
    </w:p>
    <w:p>
      <w:r>
        <w:t>- 19 - impute le trouble de comportement de l’enfant, qui serait attesté par le compte rendu de l’école du 25 septembre 2017, à la suspension de son droit de visite. Il se réfère au comportement de l’enfant en octobre 2013 ainsi qu’aux dires de [...] sur son besoin de voir son père plus souvent et de vivre davantage auprès de lui. Il revient sur des propos erronés de la justice de paix, consignés au procès-verbal de l’audience du 14 juillet 2017, lesquels auraient influé sur la décision querellée. 3.2.2 L’autorité parentale conjointe est la règle depuis l’entrée en vigueur le 1er juillet 2014 des nouvelles dispositions du Code civil relatives à l’autorité parentale (RO 2014 357), ce indépendamment de l’état civil des parents (art. 296 al. 2, 298a al. 1, 298 b al. 2 et 298d al. 1 CC ; ATF 142 III 1 consid. 3.3 ; 142 III 56 consid. 3). Il ne peut être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 ATF 142 III 1 consid. 2.1). En outre, la seule distance géographique n’est pas en soi suffisante pour déroger au principe de l’autorité parentale conjointe (ATF 142 III 1 consid. 3 ; 142 III 56 consid. 3). Selon l’art. 298d al. 1 CC, dont la teneur est similaire à celle de l'art. 298a al. 2 aCC –, à la requête du père ou de la mère, de l’enfant ou d’office, l’autorité de protection de l’enfant modifie l’attribution de l’autorité parentale lorsque des faits nouveaux importants le commandent pour le bien de l’enfant.</w:t>
      </w:r>
    </w:p>
    <w:p>
      <w:r>
        <w:t>- 20 - La modification de l'attribution de l'autorité parentale ou de l'une de ses composantes est subordonnée à deux conditions, soit, d'une part, des faits nouveaux et, d'autre part, que la modification intervienne pour le bien de l'enfant. Même si l'instauration d'une autorité parentale conjointe en lieu et place d'une autorité parentale exclusive ne devrait pas dépendre de critères d'appréciation trop stricts, le parent privé jusque-là de l'autorité parentale doit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(TF 5A_30/2017 du 30 mai 2017 consid. 4.2 et les références). 3.2.3 L’ensemble des pièces produites par le recourant n’est pas susceptible de démontrer la nécessité d’une autorité parentale conjointe, mais relève de la problématique des relations personnelles, soit du droit de visite du père sur son enfant, lesquelles ne sauraient faire l’objet du présent recours, dès lors que la décision attaquée rendue par la juge de paix ne concerne que l’autorité parentale. Cela est d’autant plus valable que la pièce 6, du 25 septembre 2017, est postérieure à la décision rendue par la juge de paix, qui n’a donc pas pu se fonder sur celle-ci. Quant au prétendu lien qui existerait entre les difficultés actuelles de l’enfant et les méthodes éducatives le concernant, il n’est pas établi et ne saurait de toute manière entraîner une autorité parentale conjointe. En effet, cette affirmation ne suffit pas à renverser les constatations de la Chambre de céans à cet égard dans son arrêt du 12 janvier 2016, laquelle s’était appuyée sur l’avis des experts relatif au conflit parental majeur opposant les parents. Il ressort ainsi de cet arrêt que le conflit parental opposant les parents de l’enfant depuis la naissance de celui-ci est grave et profond, qu’il ne s’apparente pas à de simples dissensions passagères survenant à l’occasion d’une séparation, qu’il s’agit d’une situation conflictuelle sévère et durable et d’une incapacité totale de communiquer, le déficit de communication ayant des effets</w:t>
      </w:r>
    </w:p>
    <w:p>
      <w:r>
        <w:t>- 21 - négatifs sur le bien-être de l’enfant et l’attribution de l’autorité parentale à la mère étant susceptible d’améliorer la situation. L’attribution de l’autorité parentale conjointe a été considérée par la Chambre de céans, qui s’est fondée sur l’avis des experts, comme susceptible de donner au père les moyens légaux de s’opposer aux mesures nécessaires au bon développement de l’enfant, ce qui obligerait régulièrement l’autorité de protection à prendre des décisions sur des questions qui impartissent en principe aux deux parents, ce qui ne serait pas souhaitable. 4. En conclusion, le recours est rejeté et la décision querellée confirmée. Le présent arrêt est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L’arrêt, rendu sans frais judiciaires de deuxième instance, est exécutoire. La présidente : Le greffier :</w:t>
      </w:r>
    </w:p>
    <w:p>
      <w:r>
        <w:t>- 22 - Du L'arrêt qui précède, dont la rédaction a été approuvée à huis clos, est notifié à : - M. T.________, - Me Jean-Pierre Wavre (pour F.________), et communiqué à : - Mme la Juge de paix du district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