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B514.030269 vom 8. September 2015</w:t>
      </w:r>
    </w:p>
    <w:p>
      <w:r>
        <w:t>VD Tribunal cantonal, 2015-09-08, FR</w:t>
      </w:r>
    </w:p>
    <w:p>
      <w:r>
        <w:rPr>
          <w:b/>
        </w:rPr>
        <w:t xml:space="preserve">Quelle: </w:t>
      </w:r>
      <w:r>
        <w:t>https://mcp.opencaselaw.ch/entscheid/vd_gerichte_B514.030269</w:t>
      </w:r>
    </w:p>
    <w:p>
      <w:r>
        <w:t>FR: VD_GERICHTE B514.030269 du 8 septembre 2015</w:t>
      </w:r>
    </w:p>
    <w:p>
      <w:r>
        <w:t>IT: VD_GERICHTE B514.030269 del 8 settembre 2015</w:t>
      </w:r>
    </w:p>
    <w:p>
      <w:pPr>
        <w:pStyle w:val="Heading2"/>
      </w:pPr>
      <w:r>
        <w:t>Erwägungen</w:t>
      </w:r>
    </w:p>
    <w:p>
      <w:r>
        <w:rPr>
          <w:b/>
        </w:rPr>
        <w:t>E. 1</w:t>
      </w:r>
    </w:p>
    <w:p>
      <w:r>
        <w:t>L'enfant A.R.________, née le [...] 2012, est issue d'une relation hors mariage entre B.R.________ et Z.________.</w:t>
      </w:r>
    </w:p>
    <w:p>
      <w:r>
        <w:t>- 3 -</w:t>
      </w:r>
    </w:p>
    <w:p>
      <w:r>
        <w:rPr>
          <w:b/>
        </w:rPr>
        <w:t>E. 2</w:t>
      </w:r>
    </w:p>
    <w:p>
      <w:r>
        <w:t>L’art. 446 al. 1 CC prévoit que l'autorité de protection de l'adulte établit les faits d'office. Compte tenu du renvoi de l’art. 450f CC aux règles du CPC (Code de procédure civile suisse du 19 décembre 2008, RS 272), l’art. 229 al. 3 CPC est applicable devant cette autorité, de sorte que les faits et moyens de preuve nouveaux sont admis jusqu’aux délibérations. Cela vaut aussi en deuxième instance (Steck, Basler Kommentar, op. cit., n. 7 ad 450a CC, p. 2626, et les auteurs cités). En effet, en matière de protection de l'adulte et de l'enfant, la maxime</w:t>
      </w:r>
    </w:p>
    <w:p>
      <w:r>
        <w:t>- 6 - inquisitoire illimitée est applicable, de sorte que les restrictions posées par l'art. 317 CPC pour l'introduction de faits ou moyens de preuve nouveaux sont inapplicables (cf. JT 2011 III 43; CCUR 28 février 2013/56).</w:t>
      </w:r>
    </w:p>
    <w:p>
      <w:r>
        <w:rPr>
          <w:b/>
        </w:rPr>
        <w:t>E. 3</w:t>
      </w:r>
    </w:p>
    <w:p>
      <w:r>
        <w:t>a)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réformatoire ou cassatoire (Guide pratique COPMA, op. cit., n. 12.39, p. 290). Elle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(JT 2001 III 121; Poudret/Haldy/Tappy, Procédure civile vaudoi-se, 3e éd., Lausanne 2002, nn. 3 et 4 ad art. 492 CPC p. 763, point de vue qui demeure valable sous l’empire du nouveau droit). b) En matière de modification provisoire de l’autorité parentale, le prononcé de mesures provisionnelles au sens des art. 298a et 445 CC relève de la seule compétence du président de l’autorité de protection (art. 4 al. 1 et 5 let. j LVPAE), c’est-à-dire du juge de paix dans le canton de Vaud. La Juge de paix du district de Lavaux-Oron était donc compétente pour statuer sur la question de l’attribution provisoire de l’autorité parentale conjointe.</w:t>
      </w:r>
    </w:p>
    <w:p>
      <w:r>
        <w:t>- 7 -</w:t>
      </w:r>
    </w:p>
    <w:p>
      <w:r>
        <w:rPr>
          <w:b/>
        </w:rPr>
        <w:t>E. 4</w:t>
      </w:r>
    </w:p>
    <w:p>
      <w:r>
        <w:t>a) Le recourant soutient que la mère, seule détentrice de l’autorité parentale, est ressortissante britannique et que, si elle venait à décider unilatéralement de quitter la Suisse, elle pourrait le faire sans conséquence. Il allègue également que l’attribution de l’autorité parentale conjointe mettrait des limites à la « toute puissance » de la mère et ajoute que les difficultés de communication ont pour origine l’attitude de la mère et qu’il peine à percevoir quelle situation réelle mettrait en danger l’enfant s’il exerçait une autorité parentale conjointe. b) Sous l’ancien droit, si la mère n’était pas mariée avec le père, l’autorité parentale appartenait à la mère (art. 298 al. 1 aCC). L’art. 12 al. 4 Titre final CC dispose que si l’autorité parentale n’appartient qu’à l’un des parents lors de l’entrée en vigueur de la modification du 21 juin 2013, l’autre parent peut, dans le délai d’une année à compter de l’entrée en vigueur du nouveau droit, s’adresser à l’autorité compétente pour lui demander de prononcer l’autorité parentale conjoint. L’art. 298b CC est applicable par analogie. Selon cette disposition, lorsqu'un parent refuse de déposer une déclaration commune, l'autre parent peut s'adresser à l'autorité de protection de l'enfant du lieu de domicile de l'enfant (al. 1). Cette autorité institue l'autorité parentale conjointe à moins que le bien de l'enfant ne commande que la mère reste seule détentrice de l'autorité parentale ou que cette dernière soit attribuée exclusivement au père (al. 2). Les dispositions instaurent le principe selon lequel l'autorité parentale conjointe est désormais la règle, à moins que le bien de l’enfant ne commande de s’en écarter (Message, FF 2011 pp. 8339 et 8340). Le critère du bien de l’enfant, auquel les art. 298 al. 1 CC et 133 al. 2 CC font expressément référence, reste déterminant (Meier/Stettler, Droit de la filiation, 5e éd., 2014, n. 492 et 494 p. 330).</w:t>
      </w:r>
    </w:p>
    <w:p>
      <w:r>
        <w:t>- 8 - Dans un arrêt récent destiné à la publication, le Tribunal fédéral a retenu que pour s'écarter de l'autorité parentale conjointe et attribuer l'autorité parentale à l'un des parents seulement, selon les art. 298ss CC, il n'est pas exigé que les conditions de l'art. 311 CC pour le retrait de l'autorité parentale soient réalisées. Un conflit parental grave et durable ou une incapacité totale de communiquer peut justifier l'attribution de l'autorité parentale à un seul des parents, lorsque ce déficit a des effets négatifs sur le bien de l'enfant et que l'on peut attendre d'une telle attribution une amélioration de la situation. L'autorité parentale conjointe n'a pas de sens, lorsque la collaboration entre les parents n'est pas possible et que c'est l'autorité de protection de l'enfant ou le juge qui doit continuellement prendre les décisions pour lesquelles les parents n'arrivent pas à se mettre d'accord. Le pur maintien formel de l'autorité parentale conjointe ne correspond pas au concept de base et ni à ce qui a été voté au parlement (TF 5A_923/2014 du 27 août 2015 c. 4.6). Il est, dans tous les cas, nécessaire que le conflit ou le défaut de communication soit important et chronique. Des litiges ponctuels ou des divergences d'opinion, comme il peut y en avoir dans chaque famille, en particulier en cas de séparation ou de divorce, ne sont cependant pas des raisons qui justifient d'attribuer l'autorité parentale à un seul des parents, au regard du but de la modification législative recherché. Par conséquent, en cas de conflit, certes important, mais limité à un thème déterminé – comme l’éducation religieuse, le domaine scolaire ou le lieu de résidence – le principe de subsidiarité impose d’examiner si une attribution judiciaire exclusive de certaines composantes de l’autorité parentale pourrait déjà apaiser la situation. L'attribution de l'autorité à un seul parent doit rester une exception strictement limitée (TF 5A_923/2014 précité c. 4.7). Ainsi, comme mentionné précédemment, il est normal que des disputes surviennent dans une telle procédure judiciaire, celles-ci disparaissant avec le temps dans la plupart des cas. De tels différents sont inhérents à chaque procédure de ce type et ne justifient pas l'attribution de l'autorité à un seul parent. Le fait qu'avec le temps, le conflit s'arrange, se stabilise ou empire constitue un fait nouveau pouvant justifier une modification de</w:t>
      </w:r>
    </w:p>
    <w:p>
      <w:r>
        <w:t>- 9 - l'attribution de l'autorité parentale conformément à l'art. 298d al. 1 CC (TF 5A_923/2014 précité c. 4.3). S’agissant encore de l’exécution anticipée des conclusions au fond par le biais des mesures provisionnelles, la jurisprudence impose des exigences plus strictes pour ces mesures d’exécution anticipée provisoires lesquelles portent une atteinte particulièrement grave à la situation juridique de l’intimé et qui ne peuvent être admises que de façon restrictive. Plus une mesure provisionnelle atteint de manière incisive la partie citée, plus il convient de fixer de hautes exigences pour reconnaître le bienfondé de la demande quant à l’exercice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pourrait créer à chacune des deux parties (TF 4A_611/2011 du 3 janvier 2012 c. 4, in RSPC 2012 p. 208, note Dietschy). c) Le premier juge a notamment considéré qu’il ne parvenait pas en l’état à se forger une opinion sur la réalisation ou non des conditions permettant de refuser l’attribution de l’autorité parentale conjointe, relevant que le conflit entre les parents était tel qu’il était à craindre qu’il soit néfaste pour l’enfant, qu’il convenait d’abord de laisser la thérapie familiale, acceptée par les parents et ordonnée par le juge, se mettre en place, afin qu’elle puisse produire ses effets sur la dynamique familiale et que l’attribution de l’autorité parentale conjointe par voie de mesures provisionnelles créerait une situation qui ne pourrait être modifiée par un jugement au fond sans courir le risque de porter préjudice à l’enfant. d) En l’espèce, s’agissant du premier grief du recourant, soit le risque que la mère, ressortissante britannique, ne prenne unilatéralement la décision de quitter la Suisse avec l’enfant, rien n’indique que la mère ait l’intention de quitter le pays, le simple fait qu’elle n’ait pas formellement</w:t>
      </w:r>
    </w:p>
    <w:p>
      <w:r>
        <w:t>- 10 - pris l’engagement de ne pas le faire ne permettant pas de déduire qu’elle nourrirait une telle intention ni l’existence d’un tel risque. Le recourant ne fait valoir aucun élément nouveau qui permettrait de d’écarter de cette appréciation. Il n’y a dès lors pas d’urgence, de ce point de vue, à prononcer l’autorité parentale conjointe à titre provisoire au motif qu’un déplacement à l’étranger nécessiterait dès lors l’accord du père ou une décision judiciaire, selon l’art. 301a al. 2 CC. La cour de céans observe par ailleurs qu’un parent exerçant seul l’autorité parentale qui souhaite modifier le lieu de résidence doit informer en temps utile l’autre parent (art. 301a al. 3 CC) et que l’autorité de protection peut interdire dans tous les cas le changement de résidence qui constituerait une menace sérieuse pour le bien de l’enfant (ATF 136 III 353, JT 2010 I 491; TF 5A_643/2011 du 22 novembre 2011 c. 5.1.2, rés. RMA 2012 p. 104). Il convient dès lors, au stade des mesures provisionnelles, de confirmer l’ordonnance du premier juge. Il est en effet constant, au vu du dossier, que la communication entre les parents de l’enfant concernée est extrêmement difficile, comme l’atteste d’ailleurs la quantité de courriers adressée de part et d’autre par l’intermédiaire des conseils, la multiplication des procédures, ainsi que le ton parfois violent des écrits échangés. A cet égard, on ne peut que souligner la position paradoxale du recourant, qui tout en prétendant que la communication s’améliore, dès lors que certains accords auraient été trouvés, s’en prend à réitérées reprises à la « toute puissance » de la mère et rejette sur elle toute responsabilité dans les blocages actuels. On peut craindre, à tout le moins tant que la thérapie familiale n’aura pas été sérieusement mise en œuvre, que la situation de blocage actuelle ne puisse perdurer et être source de nouveaux conflits judiciaires dans la volonté du père de vouloir contrôler et limiter le prétendu pouvoir de la mère. Les conditions pour obtenir, par voie de mesures provisionnelles, l'exécution anticipée des conclusions au fond ne sont en l'espèce par réalisées.</w:t>
      </w:r>
    </w:p>
    <w:p>
      <w:r>
        <w:t>- 11 -</w:t>
      </w:r>
    </w:p>
    <w:p>
      <w:r>
        <w:rPr>
          <w:b/>
        </w:rPr>
        <w:t>E. 5</w:t>
      </w:r>
    </w:p>
    <w:p>
      <w:r>
        <w:t>En conclusion, le recours interjeté par Z.________ doit être rejeté, selon le mode procédural de l'art. 312 al. 1 CPC, et l’ordonnance entreprise confirmée. Le présent arrêt peut être rendu sans frais judiciaires (art. 74a al. 4 TFJC [tarif du 28 septembre 2010 des frais judiciaires civils, RSV 270.11.5]). Par ces motifs, la Chambre des curatelles du Tribunal cantonal, statuant à huis clos, prononce: I. Le recours est rejeté. II. La décision est confirmée. III. L’arrêt est rendu sans frais. IV. L'arrêt motivé est exécutoire. La présidente : La greffière : Du Le dispositif de l'arrêt qui précède est communiqué par écrit aux intéressés. La greffière :</w:t>
      </w:r>
    </w:p>
    <w:p>
      <w:r>
        <w:t>- 12 - Du L'arrêt qui précède, dont la rédaction a été approuvée à huis clos, est notifié à : - Me Laure Chappaz (pour le recourant), - Me Cédric Thaler (pour l’intimée), et communiqué à : - la Juge de paix du district de Lavaux-Oron,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