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B414.043608 vom 29. Juni 2016</w:t>
      </w:r>
    </w:p>
    <w:p>
      <w:r>
        <w:t>VD Tribunal cantonal, 2016-06-29, FR</w:t>
      </w:r>
    </w:p>
    <w:p>
      <w:r>
        <w:rPr>
          <w:b/>
        </w:rPr>
        <w:t xml:space="preserve">Quelle: </w:t>
      </w:r>
      <w:r>
        <w:t>https://mcp.opencaselaw.ch/entscheid/vd_gerichte_B414.043608</w:t>
      </w:r>
    </w:p>
    <w:p>
      <w:r>
        <w:t>FR: VD_GERICHTE B414.043608 du 29 juin 2016</w:t>
      </w:r>
    </w:p>
    <w:p>
      <w:r>
        <w:t>IT: VD_GERICHTE B414.043608 del 29 giugno 2016</w:t>
      </w:r>
    </w:p>
    <w:p>
      <w:pPr>
        <w:pStyle w:val="Heading2"/>
      </w:pPr>
      <w:r>
        <w:t>Erwägungen</w:t>
      </w:r>
    </w:p>
    <w:p>
      <w:r>
        <w:rPr>
          <w:b/>
        </w:rPr>
        <w:t>E. 1</w:t>
      </w:r>
    </w:p>
    <w:p>
      <w:r>
        <w:t>Le recours est dirigé contre une ordonnance de mesures provisionnelles du juge de paix fixant les modalités d’exercice du droit de visite d’un père sur sa fille mineure (art. 273 ss CC).</w:t>
      </w:r>
    </w:p>
    <w:p>
      <w:r>
        <w:rPr>
          <w:b/>
        </w:rPr>
        <w:t>E. 1.1</w:t>
      </w:r>
    </w:p>
    <w:p>
      <w:r>
        <w:t>Le recours de l'art. 450 CC est ouvert à la Chambre des curatelles (art. 8 LVPAE [Loi du 29 mai 2012 d'application du droit fédéral de la protection de l'adulte et de l'enfant ; RSV 211.255] et 76 al. 2 LOJV [Loi d'organisation judiciaire du 12 décembre 1979 ; RSV 173.01]) contre toute décision relative aux mesures provisionnelles (Steck, Basler Kommentar, Zivilgesetzbuch I, Art. 1-456 ZGB, 5e éd., Bâle 2014, n. 21 ad art. 450 CC, p. 2619)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w:t>
      </w:r>
    </w:p>
    <w:p>
      <w:r>
        <w:t>- 8 - par écrit (art. 450 al. 3 CC), les exigences de motivation ne devant cependant pas être trop élevées (Steck, op. cit., n. 42 ad art. 450 CC, p. 2624).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 RS 272]). Selon les situations, le recours sera par conséquent de nature réformatoire ou cassatoire (Guide pratique COPMA, n. 12.39, p. 290).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 Conformément à l'art. 450d CC, la Chambre des curatelles donne à la justice de paix (art. 4 al. 1 LVPAE) l'occasion de prendre position (al. 1), cette autorité pouvant, au lieu de prendre position, reconsidérer sa décision (al. 2).</w:t>
      </w:r>
    </w:p>
    <w:p>
      <w:r>
        <w:t>- 9 -</w:t>
      </w:r>
    </w:p>
    <w:p>
      <w:r>
        <w:rPr>
          <w:b/>
        </w:rPr>
        <w:t>E. 1.2</w:t>
      </w:r>
    </w:p>
    <w:p>
      <w:r>
        <w:t>En l’espèce, motivé et interjeté en temps utile par le père de la mineure concernée, partie à la procédure, le présent recours est recevable. Il en va de même des pièces produites en deuxième instance, si tant est qu’elles ne figurent pas déjà au dossier. Le recours étant manifestement mal fondé au vu des considérations qui seront développées ci-après, il a été renoncé à consulter l'autorité de protection (cf. art. 450d al. 1 CC) et la mère de l’enfant n’a pas été invitée à se déterminer (art. 312 al. 1 CPC, applicable par renvoi de l’art. 450f CC).</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Aux termes de l’art. 275 al. 1 CC, l’autorité de protection du domicile de l’enfant est compétente pour prendre les mesures nécessaires concernant les relations personnelles ; la même compétence appartient en outre à l’autorité de protection du lieu de séjour de l’enfant si celle-ci a pris des mesures de protection en sa faveur ou qu’elle se prépare à en prendre. Le prononcé de mesures provisionnelles au sens des art. 445 et 314 al. 1 CC relève de la seule compétence du président de l’autorité de protection, soit du juge de paix (art. 4 al. 1 et 5 let. j LVPAE).</w:t>
      </w:r>
    </w:p>
    <w:p>
      <w:r>
        <w:t>- 10 -</w:t>
      </w:r>
    </w:p>
    <w:p>
      <w:r>
        <w:rPr>
          <w:b/>
        </w:rPr>
        <w:t>E. 2.3</w:t>
      </w:r>
    </w:p>
    <w:p>
      <w:r>
        <w:t>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w:t>
      </w:r>
    </w:p>
    <w:p>
      <w:r>
        <w:rPr>
          <w:b/>
        </w:rPr>
        <w:t>E. 2.4</w:t>
      </w:r>
    </w:p>
    <w:p>
      <w:r>
        <w:t>En l’espèce, la décision a été rendue par le juge de paix, qui a fondé sa compétence sur les art. 275 al. 1 CC et 5 LVPAE. Ce magistrat a procédé à l’audition des parents de l’enfant lors de son audience du 4 mai 2016, de sorte que le droit d’être entendu de ceux-ci a été respecté (cf. art. 447 al. 1 CC). Vu son jeune âge, il a été renoncé à l’audition de H.J.________ (art. 314a al. 1 CC). La décision entreprise est donc formellement correcte et peut être examinée sur le fond.</w:t>
      </w:r>
    </w:p>
    <w:p>
      <w:r>
        <w:rPr>
          <w:b/>
        </w:rPr>
        <w:t>E. 3</w:t>
      </w:r>
    </w:p>
    <w:p>
      <w:r>
        <w:t>Le recourant conteste la limitation de son droit de visite. Il considère qu’un droit de visite à raison de deux fois par semaine pendant trois heures serait adéquat et proche de celui qu’il exerçait lorsque H.J.________ était au foyer. Il soutient également que la surveillance de son droit de visite est inutile dès lors qu’il n’a pas requis que sa fille puisse rester avec lui au-delà de quelques heures dans la journée et que les rapports ont constaté qu’il était à même de s’occuper d’elle.</w:t>
      </w:r>
    </w:p>
    <w:p>
      <w:r>
        <w:rPr>
          <w:b/>
        </w:rPr>
        <w:t>E. 3.1</w:t>
      </w:r>
    </w:p>
    <w:p>
      <w:r>
        <w:t>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Droit suisse de la filiation et de la famille, 4e éd., Berne 1998, adaptation française par Meier, n. 19.20, p. 116). Le Tribunal fédéral relève à cet égard qu’il est unanimement reconnu que le rapport de l’enfant avec ses</w:t>
      </w:r>
    </w:p>
    <w:p>
      <w:r>
        <w:t>- 11 - deux parents est essentiel et qu’il peut jouer un rôle décisif dans le processus de recherche d’identité de l’enfant (TF 5A_586/2012 du 12 décembre 2012 consid. 4.2 ; ATF 127 III 295 consid. 4a ; ATF 123 III 445 consid. 3c, JdT 1998 I 354).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Il faut en outre prendre en considération la situation et les intérêts de l’ayant droit : sa relation avec l’enfant, sa personnalité, son lieu d’habitation, son temps libre et son environnement. Enfin, il faut tenir compte de la situation des personnes chez qui l’enfant vit (Hegnauer, op. cit., n. 19.09, p. 111). Des conditions particulières pour l’exercice du droit de visite peuvent en outre être imposées (Hegnauer, op. cit., n. 19.16, p. 114).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ou psychique est menacé par la présence, même limitée, du parent qui n’a pas l’autorité parentale (ATF 122 III 404 consid. 3b ; TF 5P.33/2001 du 5 juillet 2001 consid. 3a).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w:t>
      </w:r>
    </w:p>
    <w:p>
      <w:r>
        <w:t>- 12 - que lorsqu’ils ont pour conséquence que ces relations portent atteinte au bien de l’enfant (TF 5A_756/2013 du 9 janvier 2014 consid. 5.1.2 ; TF 5A_663/2012 du 12 mars 2013 consid. 4.1 publié in La pratique du droit de la famille [FamPra.ch] 2013, p. 806 ; TF 5A_172/2012 du 16 mai 2012 consid. 4.1.1, rés. in Revue de la protection des mineurs et des adultes [RMA] 2012, p. 300). Conformément au principe de proportionnalité, il importe en outre que cette menace ne puisse être écartée par d’autres mesures appropriées (TF 5A_877/2013 du 10 février 2014 consid. 6.1 ; TF 5A_448/2008 du 2 octobre 2008 consid. 4.1 ; ATF 131 III 209 consid. 5, JdT 2005 I 201). Le retrait de tout droit à des relations personnelles constitue l'ultima ratio et ne peut être ordonné dans l’intérêt de l’enfant que si les effets négatifs des relations personnelles ne peuvent être maintenus dans des limites supportables pour l’enfant (TF 5A_172/2012 du 16 mai 2012 consid. 4.1.1 et les références citées, résumé in RMA 2012, p. 300). En revanche, si le risque engendré pour l’enfant par les relations personnelles peut être limité par l’établissement d’un droit de visite surveillé, qui s’exerce en présence d’un tiers, le droit de la personnalité du parent non détenteur de l’autorité parentale, le principe de la proportionnalité et le sens des relations personnelles interdisent la suppression complète de ce droit (TF 5A_120/2013 du 23 mai 2013 consid. 2.1.3 et les références citées). L’établissement d’un droit de visite surveillé nécessite des indices concrets de mise en danger du bien de l’enfant. Dès lors, il convient de faire preuve d’une certaine retenue lors du choix de cette mesure (TF 5A_401/2014 du 18 août 2014 consid. 3.2.2 et la jurisprudence citée ; Meier/Stettler, Droit de la filiation, 5e éd., Bâle 2014, nn. 790 ss, pp. 521 ss).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1C_219/2007 du 19 octobre 2007 consid. 2, publié in FamPra.ch 1/2008, p. 172).</w:t>
      </w:r>
    </w:p>
    <w:p>
      <w:r>
        <w:t>- 13 -</w:t>
      </w:r>
    </w:p>
    <w:p>
      <w:r>
        <w:rPr>
          <w:b/>
        </w:rPr>
        <w:t>E. 3.2</w:t>
      </w:r>
    </w:p>
    <w:p>
      <w:r>
        <w:t>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n. 1.184, p. 74).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n. 1.186, p. 75 ; TF 5A_520/2008 du 1er septembre 2008 consid. 3 ; CCUR 13 février 2014/30 et les références citées).</w:t>
      </w:r>
    </w:p>
    <w:p>
      <w:r>
        <w:rPr>
          <w:b/>
        </w:rPr>
        <w:t>E. 3.3</w:t>
      </w:r>
    </w:p>
    <w:p>
      <w:r>
        <w:t>En l’espèce, il ressort du dossier que H.J.________, âgée de presque deux ans, est en bonne forme et se développe favorablement. Elle nécessite toutefois beaucoup de soins compte tenu de son âge. Il n’y a pas lieu de revenir sur le droit de visite de la mère, dont la décision y relative n’est pas contestée. S’agissant du droit de visite du père, il sied au préalable de souligner que des visites dans un foyer sont plus faciles à organiser que si l’enfant est placé en famille d’accueil, famille qui n’a pas la même disponibilité qu’un foyer, qui peut accueillir un parent facilement. Cela étant, il ressort du rapport du 17 mars 2016 des éducatrices du foyer de [...] que le recourant a noué un lien très affectueux avec sa fille et que celle-ci semble être rassurée dans ses bras. Il a toutefois besoin de beaucoup de temps pour lui faire les soins ou l’habiller, ce qui la met dans un état d’agitation. En outre, il a fait preuve d’une incompréhension persistante sur les raisons du placement de l’enfant ou du fonctionnement du foyer, ce qui a rendu la collaboration avec lui difficile. Les éducatrices</w:t>
      </w:r>
    </w:p>
    <w:p>
      <w:r>
        <w:t>- 14 - n’ont pas pu se prononcer sur sa capacité à accueillir sa fille le week-end. Dans son rapport du 3 novembre 2015, le tuteur relève que le recourant n’a pas la capacité de comprendre et d’anticiper les besoins de H.J.________, sa compréhension des enjeux restant basique. Il considère qu’une prise en charge sur la durée pourrait entraver le bon développement de l’enfant et mettre ainsi en péril sa sécurité, son alimentation et son sommeil. Dès lors, au vu du très jeune âge de H.J.________, on ne saurait augmenter la fréquence des visites sans disposer du rapport de l’expertise pédopsychiatrique ordonnée dans la décision entreprise. Quant à la limite à une heure et demie de la période de visite, telle qu’elle résulte du courrier du tuteur du 19 mai 2016, on ne saurait arguer d’une mauvaise application de la décision attaquée dès lors que le premier juge a renvoyé les visites aux modalités instaurées par l’Espace Contact de l’Association [...]. Un bilan devrait du reste avoir eu lieu le 28 juin 2016, lequel pourrait permettre un élargissement des horaires sans que l’autorité judiciaire ne doive se prononcer à nouveau. S’agissant de la surveillance instaurée, quand bien même les périodes de visite actuelles sont effectivement d’une durée limitée, elle est tout à fait adéquate pour les mêmes motifs, soit s’assurer que les soins de base de l’enfant sont couverts et que sa sécurité est assurée. L’intérêt de l’enfant l’emporte en effet sur les vœux du recourant. Au demeurant, il s’agit de mesures provisionnelles, fondées sur un examen sommaire et évolutif de la situation, mesures qui doivent en premier lieu viser à sauvegarder le bien-être et la bonne évolution de l’enfant à protéger.</w:t>
      </w:r>
    </w:p>
    <w:p>
      <w:r>
        <w:rPr>
          <w:b/>
        </w:rPr>
        <w:t>E. 4</w:t>
      </w:r>
    </w:p>
    <w:p>
      <w:r>
        <w:t>En conclusion, le recours d’E.________ doit être rejeté et l’ordonnance entreprise confirmée. Selon l’art. 117 CPC, une personne a droit à l’assistance judiciaire aux conditions cumulatives qu’elle ne dispose pas de ressources suffisantes (let. a) et que sa cause ne paraisse pas dépourvue de toute</w:t>
      </w:r>
    </w:p>
    <w:p>
      <w:r>
        <w:t>- 15 - chance de succès (let. b). L’assistance judiciaire doit faire l’objet d’une nouvelle requête pour la procédure de recours (art. 119 al. 5 CPC). Dans la mesure où le présent recours, manifestement mal fondé, était d’emblée dénué de chance de succès, la condition de l’art. 117 let. b CPC n’est pas remplie et la requête d’assistance judiciaire du recourant doit être rejetée (Tappy, CPC commenté, Bâle 2011, n. 30. ad art. 117 CPC, p. 474). Le présent arrêt peut être rendu sans frais judiciaires (art. 74a al. 4 TFJC [Tarif du 28 septembre 2010 des frais judiciaires civils ; RSV 270.11.5]). Par ces motifs, la Chambre des curatelles du Tribunal cantonal, statuant à huis clos, prononce : I. Le recours est rejeté. II. L’ordonnance est confirmée. III. La requête d’assistance judiciaire présentée par E.________ est rejetée. IV. L'arrêt est rendu sans frais judiciaires. V. L’arrêt motivé est exécutoire. La présidente : La greffière :</w:t>
      </w:r>
    </w:p>
    <w:p>
      <w:r>
        <w:t>- 16 - Du 30 juin 2016 Le dispositif de l'arrêt qui précède est communiqué par écrit aux intéressés. La greffière : Du L'arrêt qui précède, dont la rédaction a été approuvée à huis clos, est notifié à : - Me Olivier Boschetti (pour M. E.________), - Me Alain Sauteur (pour Mme B.J.________), - M. R.________, assistant social auprès de l’Office des curatelles et tutelles professionnelles, - M. A.________, assistant social auprès de l’Office des curatelles et tutelles professionnelles, - Service de protection de la jeunesse, Unité évaluation et missions spécifiques, et communiqué à : - Mme la Juge de paix du district de la Riviera-Pays-d’Enhaut, - Service de protection de la jeunesse, Unité d’appui juridique, - Service de psychiatrie et psychothérapie pour enfants et adolescents (SPPEA), par l'envoi de photocopies. Le présent arrêt peut faire l'objet d'un recours en matière civile devant le Tribunal fédéral au sens des art. 72 ss LTF (loi du 17 juin 2005 sur le Tribunal fédéral – RS 173.110), cas échéant d'un recours</w:t>
      </w:r>
    </w:p>
    <w:p>
      <w:r>
        <w:t>- 17 -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