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AX23.054040 vom 25. November 2024</w:t>
      </w:r>
    </w:p>
    <w:p>
      <w:r>
        <w:t>VD Tribunal cantonal, 2024-11-25, FR</w:t>
      </w:r>
    </w:p>
    <w:p>
      <w:r>
        <w:rPr>
          <w:b/>
        </w:rPr>
        <w:t xml:space="preserve">Quelle: </w:t>
      </w:r>
      <w:r>
        <w:t>https://mcp.opencaselaw.ch/entscheid/vd_gerichte_AX23.054040</w:t>
      </w:r>
    </w:p>
    <w:p>
      <w:r>
        <w:t>FR: VD_GERICHTE AX23.054040 du 25 novembre 2024</w:t>
      </w:r>
    </w:p>
    <w:p>
      <w:r>
        <w:t>IT: VD_GERICHTE AX23.054040 del 25 novembre 2024</w:t>
      </w:r>
    </w:p>
    <w:p>
      <w:pPr>
        <w:pStyle w:val="Heading2"/>
      </w:pPr>
      <w:r>
        <w:t>Erwägungen</w:t>
      </w:r>
    </w:p>
    <w:p>
      <w:r>
        <w:rPr>
          <w:b/>
        </w:rPr>
        <w:t>E. 3.1</w:t>
      </w:r>
    </w:p>
    <w:p>
      <w:r>
        <w:t>L’appelant fait valoir que la motivation de l’ordonnance entreprise serait déficiente. Il semble en particulier reprocher l’absence</w:t>
      </w:r>
    </w:p>
    <w:p>
      <w:r>
        <w:t>- 8 - d’examen du respect des dispositions de la LPD (Loi fédérale sur la protection des données du 25 septembre 2020 ; RS 235.1).</w:t>
      </w:r>
    </w:p>
    <w:p>
      <w:r>
        <w:rPr>
          <w:b/>
        </w:rPr>
        <w:t>E. 3.2.1</w:t>
      </w:r>
    </w:p>
    <w:p>
      <w:r>
        <w:t>Le droit d’être entendu est une garantie constitutionnelle (art. 29 al. 2 Cst. [Constitution fédérale de la Confédération suisse du 18 avril 1999 ; RS 101]) de nature formelle, dont la violation entraîne en principe l’annulation de la décision attaquée, indépendamment des chances de succès du recours sur le fond (ATF 144 I 11 consid. 5.3 ; TF 5A_645/2022 du 5 juillet 2023 consid. 3.1.1). Ce moyen doit par conséquent être examiné en premier lieu (ATF 126 I 15 consid. 2 et les réf. citées ; TF 5A_305/2022 du 5 juillet 2023 consid. 3.1) et avec un plein pouvoir d’examen (cf. ATF 135 I 279 consid. 2.2, JdT 2010 I 255 ; ATF 127 III 193 consid. 3 et la jurisprudence citée ; TF 5A_305/2022 précité consid. 3.1).</w:t>
      </w:r>
    </w:p>
    <w:p>
      <w:r>
        <w:rPr>
          <w:b/>
        </w:rPr>
        <w:t>E. 3.2.2</w:t>
      </w:r>
    </w:p>
    <w:p>
      <w:r>
        <w:t>Le droit d'être entendu garanti par l'art. 29 al. 2 Cst. impose au juge de motiver sa décision, permettant ainsi au justiciable d'exercer son droit de recours en connaissance de cause et à l'autorité de recours d'exercer un contrôle efficace. Il suffit que le juge mentionne au moins brièvement les motifs qui l'ont guidé et sur lesquels il a fondé sa décision. Il n'est pas tenu d'exposer et de discuter tous les faits, moyens de preuve et arguments invoqués par les parties, mais peut se limiter aux éléments qui peuvent être tenus pour pertinents (ATF 143 III 65 consid. 5.2 et les réf. citées, JdT 2017 II 359 ; TF 4A_524/2023 du 1er juillet 2024 consid. 4.1 ; TF 5A_903/2023 du 31 janvier 2024 consid. 5.1.2). Dès lors que l'on peut discerner les motifs qui ont guidé la décision de l'autorité, le droit à une décision motivée est respecté même si la motivation présentée est erronée (ATF 141 V 557 consid. 3.2.1 et les réf. citées ; TF 5A_788/2022 du 18 janvier 2024 consid. 3.1).</w:t>
      </w:r>
    </w:p>
    <w:p>
      <w:r>
        <w:rPr>
          <w:b/>
        </w:rPr>
        <w:t>E. 3.2.3</w:t>
      </w:r>
    </w:p>
    <w:p>
      <w:r>
        <w:t>La violation du droit d'être entendu peut être réparée lorsque la partie lésée a la possibilité de s'exprimer devant une autorité de recours jouissant d'un plein pouvoir d'examen. Une telle réparation doit toutefois rester l'exception et n'est admissible, en principe, que dans l'hypothèse d'une atteinte qui n'est pas particulièrement grave aux droits procéduraux</w:t>
      </w:r>
    </w:p>
    <w:p>
      <w:r>
        <w:t>- 9 - de la partie lésée.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Il 218 consid. 2.8.1 et les réf. citées ; TF 5A_210/2023 précité consid. 3.4).</w:t>
      </w:r>
    </w:p>
    <w:p>
      <w:r>
        <w:rPr>
          <w:b/>
        </w:rPr>
        <w:t>E. 3.3</w:t>
      </w:r>
    </w:p>
    <w:p>
      <w:r>
        <w:t>En l’occurrence, la motivation du grief est confuse. A supposer recevable, le grief serait en tout état de cause rejeté. En effet, il ressort clairement de l’ordonnance attaquée qu’aucune des conditions de l’art. 261 CPC n’était remplie, de sorte que la première juge ne pouvait pas admettre la requête déposée par l’appelant le 11 décembre 2023. S’agissant d’une requête de mesures provisionnelles, un examen de la cause à la lumière de la LPD n’était alors pas pertinent. Il ne peut dès lors pas être reproché à la présidente de ne pas avoir procédé à un tel examen. Le grief que l’appelant tente de tirer de la LPD est au demeurant examiné ci-après (infra consid. 6). Dans ces conditions, on ne saurait admettre une violation du droit d’être entendu de l’appelant justifiant un renvoi de la cause à l’autorité de première instance.</w:t>
      </w:r>
    </w:p>
    <w:p>
      <w:r>
        <w:rPr>
          <w:b/>
        </w:rPr>
        <w:t>E. 4</w:t>
      </w:r>
    </w:p>
    <w:p>
      <w:r>
        <w:t>L’appelant se plaint d’une constatation erronée des faits. Il semble invoquer que l’intimée N.________ aurait agi en dehors du cadre de son mandat, lequel subordonnerait, selon une ordonnance de mesures superprovisionnelles du 7 juillet 2023, l’intervention de la médiatrice intimée à l’accord des deux parents de R.________ et T.________. En l’espèce, les allégations de l’appelant relatives à l’ordonnance de mesures superprovisionnelles sont irrecevables (cf. supra consid. 2.2.2). Quoiqu’il en soit, l’ordonnance de mesures provisionnelles du 11 juillet 2023 ôte manifestement toute portée aux mesures superprovisionnelles qui auraient été préalablement prononcées. Or, l’ordonnance de mesures provisionnelles précitée ne subordonne pas l’intervention de l’intimée N.________ à la volonté de l’appelant et de son</w:t>
      </w:r>
    </w:p>
    <w:p>
      <w:r>
        <w:t>- 10 - épouse. Une telle réserve ne ressort du reste aucunement du dossier. Le grief, manifestement infondé, est rejeté.</w:t>
      </w:r>
    </w:p>
    <w:p>
      <w:r>
        <w:rPr>
          <w:b/>
        </w:rPr>
        <w:t>E. 5.1</w:t>
      </w:r>
    </w:p>
    <w:p>
      <w:r>
        <w:t>Dans une explication également confuse, l'appelant fait valoir qu’il aurait subi une atteinte à sa personnalité car l’intimée N.________ l’a contacté une fois après 19 heures, respectivement car son numéro de téléphone a été communiqué à celle-ci sans qu’il ait donné son accord. Il semble en outre considérer que la démarche ne poursuivait pas l’intérêt de ses enfants R.________ et T.________.</w:t>
      </w:r>
    </w:p>
    <w:p>
      <w:r>
        <w:rPr>
          <w:b/>
        </w:rPr>
        <w:t>E. 5.2</w:t>
      </w:r>
    </w:p>
    <w:p>
      <w:r>
        <w:t>Selon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L’art. 28 CC ne définit pas ce qu’est une atteinte à la personnalité. La notion désigne tout comportement humain qui remet en cause – totalement ou partiellement – l’existence ou la substance d’un bien de la personnalité appartenant à autrui. Le comportement ainsi visé revêt une acceptation large quant aux modalités de sa survenance. La remise en cause du bien considéré doit survenir avec une certaine intensité, c’est-à-dire dépasser le seuil de tolérance qu’on est en droit d’attendre de toute personne vivant en société ; à défaut, il n’y a pas d’atteinte qui soit pertinente au sens de l’art. 28 al. 1 CC. C’est en fonction du bien de la personnalité touché et des circonstances du cas concret que le juge retiendra l’existence ou non d’une atteinte. Cette démarche – qui relève du droit – sera opérée sur la base d’une échelle de valeurs objective et non eu égard au ressenti ou à la sensibilité de la victime (Jeandin, Commentaire romand, Code civil I, 2e éd., Bâle 2024, nn. 67 ss ad art. 28 CC et les réf. citées ; cf., parmi d’autres, CACI 14 octobre 2024/464 consid. 3.1.2).</w:t>
      </w:r>
    </w:p>
    <w:p>
      <w:r>
        <w:t>- 11 -</w:t>
      </w:r>
    </w:p>
    <w:p>
      <w:r>
        <w:rPr>
          <w:b/>
        </w:rPr>
        <w:t>E. 5.3</w:t>
      </w:r>
    </w:p>
    <w:p>
      <w:r>
        <w:t>En l’espèce, l’appelant n’indique pas en quoi les faits litigieux dépasseraient, selon une échelle de valeurs objective, le seuil de tolérance qu’on est en droit d’attendre de toute personne vivant en société. Il ne rend ainsi l’atteinte aucunement vraisemblable. Au surplus, il se contente d’opposer son appréciation à celle de la première juge s’agissant de l’intérêt prépondérant de R.________ et T.________. Le moyen est, à cet égard, irrecevable. Cela étant, et quand bien même l’appelant aurait été atteint dans sa personnalité, il y a lieu de confirmer que la démarche servait l’intérêt prépondérant de R.________ et T.________ à revoir leur père, de sorte qu’elle était justifiée. En tant qu’il est recevable, le grief est infondé.</w:t>
      </w:r>
    </w:p>
    <w:p>
      <w:r>
        <w:rPr>
          <w:b/>
        </w:rPr>
        <w:t>E. 6</w:t>
      </w:r>
    </w:p>
    <w:p>
      <w:r>
        <w:t>L’appelant se prévaut d’une violation de la LPD. En l’occurrence, il faut tout d’abord rappeler qu’au stade des mesures provisionnelles, l’examen de l’art. 261 CPC prévaut. Pour le reste, l’appelant ne rend pas vraisemblable qu’une violation de la LPD aurait eu lieu. Il ne se repose d’ailleurs sur aucune norme précise et invoque cette loi de manière très générale. Pour peu qu’il soit recevable, le moyen est infondé.</w:t>
      </w:r>
    </w:p>
    <w:p>
      <w:r>
        <w:rPr>
          <w:b/>
        </w:rPr>
        <w:t>E. 7.1</w:t>
      </w:r>
    </w:p>
    <w:p>
      <w:r>
        <w:t>L’appelant indique encore que l’autorité précédente n’a pas déterminé quelle personne, entre Y.________ et Me Z.________, a communiqué son numéro de téléphone à l’intimée N.________, ce qui justifierait selon lui un renvoi de la cause.</w:t>
      </w:r>
    </w:p>
    <w:p>
      <w:r>
        <w:rPr>
          <w:b/>
        </w:rPr>
        <w:t>E. 7.2</w:t>
      </w:r>
    </w:p>
    <w:p>
      <w:r>
        <w:t>A teneur de l'art. 318 CPC, l'instance d'appel peut, notamment, renvoyer la cause à la première instance si un élément essentiel de la demande n'a pas été examiné (art. 318 al. 1 let. c ch. 1 CPC) ou si l'état de fait doit être complété sur des points essentiels (art. 318 al. 1 let. c ch. 2 CPC).</w:t>
      </w:r>
    </w:p>
    <w:p>
      <w:r>
        <w:t>- 12 -</w:t>
      </w:r>
    </w:p>
    <w:p>
      <w:r>
        <w:rPr>
          <w:b/>
        </w:rPr>
        <w:t>E. 7.3</w:t>
      </w:r>
    </w:p>
    <w:p>
      <w:r>
        <w:t>En l’espèce, les conditions de l’art. 261 CPC n’étant pas remplies, et en particulier à défaut d’atteinte subie par l’appelant (cf. notamment supra consid. 5.3), l’identité la personne ayant communiqué le numéro de téléphone de celui-ci à l’intimée Y.________ ne constitue manifestement pas un élément essentiel justifiant un renvoi de la cause à l’autorité de première instance. Le grief doit être rejeté.</w:t>
      </w:r>
    </w:p>
    <w:p>
      <w:r>
        <w:rPr>
          <w:b/>
        </w:rPr>
        <w:t>E. 8.1</w:t>
      </w:r>
    </w:p>
    <w:p>
      <w:r>
        <w:t>En définitive, l’appel, manifestement mal fondé, doit être rejeté dans la mesure de sa recevabilité (art. 312 al. 1 in fine CPC) et l’ordonnance entreprise confirmée.</w:t>
      </w:r>
    </w:p>
    <w:p>
      <w:r>
        <w:rPr>
          <w:b/>
        </w:rPr>
        <w:t>E. 8.2</w:t>
      </w:r>
    </w:p>
    <w:p>
      <w:r>
        <w:t>Les frais judiciaires de deuxième instance, arrêtés à 600 fr., sont mis à la charge de l’appelant qui succombe (art. 106 al. 1 CPC) et qui en a déjà fait l’avance. Les intimées n’ayant pas été invitées à se déterminer, il n’y a pas lieu à l’allocation de dépens.</w:t>
      </w:r>
    </w:p>
    <w:p>
      <w:r>
        <w:t>- 13 - Par ces motifs, la Juge unique de la Cour d’appel civile prononce : I. L’appel est rejeté dans la mesure de sa recevabilité. II. L’ordonnance est confirmée. III. Les frais judiciaires de deuxième instance, arrêtés à 600 fr. (six cents francs), sont mis à la charge de l’appelant X.________. IV. L’arrêt est exécutoire. La juge unique : La greffière : Du Le présent arrêt, dont la rédaction a été approuvée à huis clos, est notifié en expédition complète à : - M. X.________, - Me Z.________, - Mme Y.________, - Mme N.________, et communiqué, par l'envoi de photocopies, à : - Mme la Présidente du Tribunal civil de l’arrondissement de La Côte. Le présent arrêt peut faire l'objet d'un recours en matière civile devant le Tribunal fédéral au sens des art. 72 ss LTF (loi du 17 juin</w:t>
      </w:r>
    </w:p>
    <w:p>
      <w:r>
        <w:t>- 14 - 2005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