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AX23.001795 vom 2. September 2025</w:t>
      </w:r>
    </w:p>
    <w:p>
      <w:r>
        <w:t>VD Tribunal cantonal, 2025-09-02, FR</w:t>
      </w:r>
    </w:p>
    <w:p>
      <w:r>
        <w:rPr>
          <w:b/>
        </w:rPr>
        <w:t xml:space="preserve">Quelle: </w:t>
      </w:r>
      <w:r>
        <w:t>https://mcp.opencaselaw.ch/entscheid/vd_gerichte_AX23.001795</w:t>
      </w:r>
    </w:p>
    <w:p>
      <w:r>
        <w:t>FR: VD_GERICHTE AX23.001795 du 2 septembre 2025</w:t>
      </w:r>
    </w:p>
    <w:p>
      <w:r>
        <w:t>IT: VD_GERICHTE AX23.001795 del 2 settembre 2025</w:t>
      </w:r>
    </w:p>
    <w:p>
      <w:pPr>
        <w:pStyle w:val="Heading2"/>
      </w:pPr>
      <w:r>
        <w:t>Erwägungen</w:t>
      </w:r>
    </w:p>
    <w:p>
      <w:r>
        <w:rPr>
          <w:b/>
        </w:rPr>
        <w:t>E. 35</w:t>
      </w:r>
    </w:p>
    <w:p>
      <w:r>
        <w:t>S’agissant du travail de l’avocat stagiaire, on ne saurait suivre la recourante qui comprend mal l’art. 21 TDC : le tarif pour l’avocat doit être réduit d’un quart, non de trois quarts comme elle le calcule. Dès lors que l’intimée a toutefois uniquement déposé une note d’honoraires faisant état d’un tarif horaire d’avocat stagiaire de 180 fr., – et qu’elle n’a pas recouru – on maintiendra donc le montant de 4'530 fr. pour cette période, calculé sur ce taux. Le total d’honoraires admissible est ainsi de 12'597 fr. 50 au lieu de 13'763 fr. 35. 3.4 Pour la période allant du 17 mai 2023 à l’audience du 2 décembre 2024, la recourante invoque qu’aucune indication ne permet de déterminer concrètement et avec certitude les opérations réalisées. Elle déclare dès lors procéder par déduction. 3.4.1 Ici encore, la recourante fait l’impasse sur les détails de la facture qui indique quelle opération a été faite par l’avocat ou par l’avocat stagiaire. On ne saurait donc entrer en matière avec les suppositions de la recourante que 30 % des heures depuis le 17 mai 2023 auraient été effectuées par un avocat stagiaire.</w:t>
      </w:r>
    </w:p>
    <w:p>
      <w:r>
        <w:t>- 11 - 3.4.2 Elle soutient ainsi qu’entre le dépôt du mémoire de réponse le 15 mai 2023 et la duplique le 16 août 2023, il ne s’est rien passé, de sorte que la facture du 10 juillet 2023, pour 4'421 fr. 43, ne se rapporte à aucune opération identifiable au dossier et doit par conséquent être écartée. La recourante ne saurait être suivie : la deuxième page de la facture du 10 juillet 2023 indique des opérations qui s’inscrivent dans celles admissibles à l’exécution du mandat de sorte qu’elles doivent être indemnisées, aucune ne paraissant excessive et la recourante ne le soutenant notamment pas pour l’une ou l’autre. En revanche et comme exposé précédemment, c’est un tarif de 350 fr. et non de 400 fr. qu’il convenait d’appliquer. Le montant calculé était toutefois de 6'051 fr. 65, réduit à 4'421 fr. 43. Le changement de tarif ne permet pas de réduire encore cette note d’honoraires. 3.4.3 La même remarque s’applique pour la facture du 20 octobre 2023, déposée lors de l’audience du 2 décembre 2024, la recourante ne semblant pas tenir compte que celle-ci détaille d’une part les opérations facturées et d’autre part la personne – avocat ou avocat stagiaire – qui les a effectuées. Les heures indiquées, vu les opérations effectuées, n’ont rien d’excessif, la recourante ne formulant sur ce point aucune critique précise. Ici encore, dût-on appliquer un tarif de 350 fr. au lieu des 400 fr. pris en compte pour le travail d’avocat que cela ne permettrait pas d’aboutir à un montant moins important que celui de 8'000 fr. mentionné finalement dans cette note d’honoraires. 3.4.4 La facture du 12 décembre 2023 fait également état d’opérations qui n’ont rien d’excessif ou de non nécessaire à l’exécution du mandat, ce tant dans leur nature que dans leur durée, la recourante ne les critiquant aucunement individuellement. Le temps indiqué ne prête ainsi pas flanc à la critique. En revanche, elle sera limitée de 730 fr. à 680 fr. pour tenir compte du tarif de 350 fr. et non de 400 fr. applicable à l’heure d’avocat facturée. 3.4.5 La recourante réclame également que les factures des 14 mars, 16 mai et 18 juin 2024 soient écartées, aucun élément du dossier ne</w:t>
      </w:r>
    </w:p>
    <w:p>
      <w:r>
        <w:t>- 12 - permettant selon elle d’identifier les prestations fournies qui ne semblent vraisemblablement pas en lien avec la procédure. En l’espèce, le détail des opérations contenu dans ces factures semble avoir échappé à la recourante et n’a rien d’excessif ou d’insolite. La recourante ne critiquant aucunement les opérations individuellement, le nombre d’heures implicitement admis par la première juge sera ici confirmé. Vu le rabais octroyé dans la facture du 14 mars 2024, on ne saurait encore la réduire pour tenir compte d’un tarif horaire d’avocat de 350 fr. et non de 400 francs. Il en va de même de la facture du 16 mai 2024. La facture du 18 juin 2024 sera en revanche réduite de 45 fr. 81 pour tenir compte d’un taux horaire de 350 fr. et non 400 fr. pour l’avocat. 3.4.6 La recourante conteste le montant de 9'339 fr. « pour la période s’étendant de juillet à l’audience du 2 décembre 2024 ». Pour cette période, l’intimée n’a déposé aucune liste d’opérations, indiquant uniquement que ces honoraires n’avaient pas encore été facturés. On ignore dès lors à quoi ceux-ci se réfèrent. Cela dit, comme le relève la recourante, l’intimée a pendant cette période déposé des nova, qui se sont révélées irrecevables. Aucun dépens ne lui sera alloué à ces fins. Pour le surplus, l’audience a dû être préparée et la recourante y être assistée de son conseil uniquement. Dans ces conditions, vu la connaissance qu’avait ce dernier de la procédure, vu les heures déjà passées sur le dossier, vu la journée d’audience, de 9 heures à 16 heures avec une pause à midi, un total de 15 heures sera admis pour cette période. Le montant d’honoraires de 9'339 fr. sera ainsi ramené à 5'250 fr., vu le taux de 350 fr. que la recourante invoque ici à raison sur l’entier des opérations effectuées par l’avocat de l’intimée. 3.4.7 Vu le total des heures facturables au vu daes documents déposés par le conseil de l’intimée le 2 décembre 2024 et les griefs admis ci-dessus, le montant afférant aux heures admises s’élève à 40'904 fr. 62. 3.4.8 La recourante invoque encore que le montant alloué correspondrait en procédure ordinaire à une affaire présentant une valeur</w:t>
      </w:r>
    </w:p>
    <w:p>
      <w:r>
        <w:t>- 13 - litigieuse d’au moins 500'000 francs. Cela n’a toutefois aucun rapport, vu la nature non patrimoniale de la procédure, et ne saurait démontrer le caractère infondé des montants admis, dûment documentés dans les notes d’honoraires déposées. 3.4.9 Cela dit, même si on devait se fonder sur les notes d’honoraires, celles-ci indiquent des montants hors TVA et frais, de sorte que ceux-ci doivent être ajoutés. Aux montants ci-dessus reconnus, doivent donc être ajoutés les débours par 5 %, soit 2'045 fr. 23 et la TVA sur le tout, soit à tout le moins 3'307 fr. 14 (en prenant un taux de TVA de 7,7 % [malgré le taux de 8,1 % valable dès le 1er janvier 2024] x 42'949 fr. 55). Le total dû de dépens s’élève ainsi à 46'257 fr., soit 257 fr. de plus que le montant alloué en première instance. Il s’ensuit le rejet du recours. 4. Au vu de ce qui précède, le recours, manifestement mal fondé, doit être rejeté en application de l’art. 322 al. 1 in fine CPC et le jugement confirmé. Les frais judiciaires de deuxième instance, arrêtés à 536 fr. (art. 69 et 70 al. 3 TFJC [tarif des frais judiciaires civile du 28 septembre 2010 ; BLV 270.11.5]), seront mis à la charge de la recourante, qui succombe (art. 106 CPC). Il n’y a pas lieu à l’allocation de dépens de deuxième instance, l’intimée n’ayant pas été invitée à se déterminer sur le recours.</w:t>
      </w:r>
    </w:p>
    <w:p>
      <w:r>
        <w:t>- 14 - Par ces motifs, la Chambre des recours civile du Tribunal cantonal, en application de l’art. 322 al. 1 CPC, prononce : I. Le recours est rejeté. II. Le jugement est confirmé. III. Les frais judiciaires de deuxième instance, arrêtés à 536 fr. (cinq cent trente-six francs), sont mis à la charge de la recourante C.________ SA. IV. L’arrêt est exécutoire. La présidente : La greffière : Du L’arrêt qui précède, dont la rédaction a été approuvée à huis clos, est notifié à : - Me Pierluca Degni (pour la recourante), - Me Philippe Vladimir Boss (pour l’intimée), La Chambre des recours civile considère que la valeur litigieuse est inférieure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