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AX22.006831 vom 22. August 2022</w:t>
      </w:r>
    </w:p>
    <w:p>
      <w:r>
        <w:t>VD Tribunal cantonal, 2022-08-22, FR</w:t>
      </w:r>
    </w:p>
    <w:p>
      <w:r>
        <w:rPr>
          <w:b/>
        </w:rPr>
        <w:t xml:space="preserve">Quelle: </w:t>
      </w:r>
      <w:r>
        <w:t>https://mcp.opencaselaw.ch/entscheid/vd_gerichte_AX22.006831</w:t>
      </w:r>
    </w:p>
    <w:p>
      <w:r>
        <w:t>FR: VD_GERICHTE AX22.006831 du 22 août 2022</w:t>
      </w:r>
    </w:p>
    <w:p>
      <w:r>
        <w:t>IT: VD_GERICHTE AX22.006831 del 22 agosto 2022</w:t>
      </w:r>
    </w:p>
    <w:p>
      <w:pPr>
        <w:pStyle w:val="Heading2"/>
      </w:pPr>
      <w:r>
        <w:t>Erwägungen</w:t>
      </w:r>
    </w:p>
    <w:p>
      <w:r>
        <w:rPr>
          <w:b/>
        </w:rPr>
        <w:t>E. 6</w:t>
      </w:r>
    </w:p>
    <w:p>
      <w:r>
        <w:t>novembre 2017 consid. 3.4 ; Colombini, Condensé de la jurisprudence fédérale et vaudoise relative à l’appel et au recours en matière civile, in JdT 2013 III 131, spéc. p. 150, n. 40). 2.2.2 En l’espèce, l’appelant a produit trois pièces nouvelles en deuxième instance, soit une attestation RI (revenu d’insertion) du 6 janvier 2022 le concernant, un extrait d’une ordonnance de mesures superprovisionnelles rendue le 27 décembre 2021 dans une cause concernant des parties tierces, ainsi qu’une copie d’une plainte pénale déposée par lui-même à l’encontre de l’intimé le 4 mars 2022. Dès lors qu’elles sont antérieures à l’audience de première instance, ces pièces sont irrecevables, faute pour l’appelant d’exposer pour quel motif elles n’auraient pas pu être produites devant le premier juge. Quoi qu’il en soit, ces pièces sont sans incidence sur le sort de la cause. 3. 3.1 L'appelant explique avoir dénoncé certains comportements de l'assistant social intimé, au motif que ce dernier aurait provoqué des</w:t>
      </w:r>
    </w:p>
    <w:p>
      <w:r>
        <w:t>- 12 - situations inappropriées, dépassé ses pouvoirs et compétences, bafoué des décisions judiciaires et favorisé une partie au détriment d'une autre. Il donne la définition des termes employés et affirme avoir agi dans l'intérêt public. 3.2 3.2.1 Selon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Ill 49 consid. 2.2 p. 51 ; ATF 127 Ill 481 consid. 2b/aa p. 487 ; ATF 126 III 209 consid. 3a in fine p. 213). L'atteinte à l'honneur peut résulter d'allégations de fait ou d'appréciations subjectives, sans qu'il importe de savoir, dans un premier temps, si les faits allégués sont vrais, incomplets ou inexacts, ou si les critiques sont justifiées ou non (cf. ATF 122 III 449 consid. 3a p. 456). Le mode d'expression (geste, voix, écrit ou dessin) est aussi indifférent. Il suffit qu'aux yeux d'un observateur moyen la considération dont jouit une personne soit diminuée ; la véracité des faits allégués ou le bien-fondé</w:t>
      </w:r>
    </w:p>
    <w:p>
      <w:r>
        <w:t>- 13 - d'une critique jouent cependant un rôle important pour décider si l'atteinte est illicite ou non (ATF 103 II 161 consid. 1c p. 165 ; ATF 91 II 401 consid. 3 p. 406). Les opinions, commentaires et jugements de valeur sont admissibles, autant qu'ils apparaissent soutenables au regard de l'état de fait auquel ils se réfèrent, à moins que leur forme ne rabaisse inutilement la personne visée (ATF 126 III 305 consid. 4b/bb p. 308 et les arrêts cités). 3.2.2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CR-CPC, n. 4 ad art. 261 CPC et les références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(ATF 131 III 473 consid. 2.3). Comme l'ordonnance provisionnelle doit, de par sa nature, être prononcée rapidement, il n'est ni possible ni nécessaire d'apporter au juge la preuve que le procès est réellement fondé (Bohnet, op. cit., n. 7 ad art. 261 CPC).</w:t>
      </w:r>
    </w:p>
    <w:p>
      <w:r>
        <w:t>- 14 -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2e éd. 2010, n. 1758, p. 322 et les références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CCIV 73/2013/DCA du 26 septembre 2013).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r>
        <w:t>- 15 - En vertu de l'art. 262 CPC, le juge peut ordonner toute mesure provisionnelle propre à prévenir ou à faire cesser le préjudice, à savoir notamment une interdiction (let. a) ou un ordre de cessation d'un état de fait illicite (let. b).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3.3 En l’espèce, l'intimé a rendu vraisemblable qu'il fait l'objet de nombreuses atteintes à sa personnalité. Les expressions utilisées sur la page Facebook en question sont propres à entacher sa réputation. En effet, l'intimé y est notamment qualifié de : « sous-fifre », « grand manipulateur », « spécialiste en destruction des liens père-enfant », « virus », « mercenaire », « charlatan », « clown », « ségrégationniste », etc. L’intimé a par ailleurs rendu vraisemblable que l’appelant, qui administre la page en cause, était à l’origine des publications litigieuses. De son côté, l'appelant ne rend vraisemblable aucun motif justificatif au</w:t>
      </w:r>
    </w:p>
    <w:p>
      <w:r>
        <w:t>- 16 - sens de l’art. 28 al. 2 CC. Dans ces conditions, les mesures provisionnelles ordonnées par le premier juge sont justifiées et doivent être confirmées. 4. 4.1 L'appelant conteste le montant des dépens alloués, arguant que l'intimé a été défendu lors de l'audience par une avocate stagiaire et que la cause ne justifierait pas plus de 4 heures de travail compte tenu de sa simplicité. 4.2 A l’instar de l’acte introductif d’instance, l’acte d’appel doit contenir des conclusions au fond. Il faut donc que l’appelant explicite dans quelle mesure la décision attaquée doit être modifiée ou annulée (ATF 137 III 617 consid. 4.2.2, JdT 2012 III 23 et les références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S’agissant de conclusions pécuniaires, l’appel doit en outre contenir des conclusions chiffrées (ATF 137 III 617 consid. 4 ; TF 5A_978/2018 précité consid. 1.2). Il ne saurait être remédié à des conclusions déficientes par la fixation d'un délai de l’art. 132 CPC, un tel vice n'étant pas d'ordre purement formel et affectant l'appel de façon irréparable (ATF 137 III 617 consid. 6.4, JdT 2014 Il 187 ; TF 4A_659/2011 du 7 décembre 2011 consid. 5 in SJ 2012 I 31 ; Jeandin, CR-CPC, n. 5 ad art. 311 CPC ; CACI 25 février 2020/99 consid. 2.2).</w:t>
      </w:r>
    </w:p>
    <w:p>
      <w:r>
        <w:t>- 17 - 4.3 4.3.1 Les conclusions de l’appelant s’agissant du montant des dépens mis à sa charge ne sont pas chiffrées, de sorte que l'appel est irrecevable sur ce point. 4.3.2 L’appelant formule divers griefs sur la liste des opérations produite par la partie adverse. Ce document mentionne une durée totale de travail de 19h27, correspondant à des honoraires de 6'013 fr. 66, TVA incluse, calculés sur la base d’un tarif horaire de 450 fr. pour l’avocate de l’intimé et de 250 fr. pour son avocate stagiaire. Le premier juge a toutefois arrêté les dépens dus à l’intimé à 5'000 fr., en tenant compte d’une durée de travail de 15 heures, rémunérée à hauteur de 300 fr. de l’heure, plus les débours à 5% et la TVA. L’appelant relève à raison qu’il n’y a pas lieu de tenir compte dans l’évaluation des dépens de certaines opérations effectuées par le conseil de l’intimé, soit du temps consacré à la tenue d’une visioconférence comptabilisée à double ainsi qu’à la rédaction d’une plainte pénale et de six courriers qui ne concernent pas la présente procédure. Au total, ces opérations représentent toutefois 1h30 de travail (30 minutes pour la visioconférence, 20 minutes pour la préparation de la plainte pénale et 6 x 6 minutes pour la rédaction des courriers). Or, dans la mesure où le premier juge a calculé les dépens en réduisant le temps de travail indiqué dans la liste des opérations produite de plus de 4 heures, les critiques formulées à cet égard tombent à faux. Pour le reste, les griefs de l’appelant sont infondés. En effet, le temps consacré à la rédaction de la requête de mesures provisionnelles et à la préparation de la plaidoirie – de respectivement 7 heures environ et 50 minutes – n’est pas excessif. Enfin, le tarif horaire appliqué par le premier juge est inférieur à la moyenne du tarif de l’avocate et de sa stagiaire.</w:t>
      </w:r>
    </w:p>
    <w:p>
      <w:r>
        <w:t>- 18 - 4.3.3 En conséquence, le grief soulevé par l’appelant en lien avec les dépens mis à sa charge doit être rejeté, dans la mesure de sa recevabilité. 5. Au vu de ce qui précède, l’appel, manifestement mal fondé, doit être rejeté dans la mesure où il est recevable, en application de l’art. 312 al. 1 CPC. L’appelant a requis l’assistance judiciaire pour la procédure de deuxième instance. Or sa cause était d’emblée dépourvue de toute chance de succès (art. 117 let. b CPC). Partant, la requête d’assistance judiciaire doit être rejetée. Les frais judiciaires de deuxième instance, arrêtés à 800 fr. (art. 65 al. 1 TFJC [tarif des frais judiciaires civils du 28 septembre 2010 ; BLV 270.11.5]), seront supportés par l’appelant, qui succombe (art. 106 al. 1 CPC). L’intimé n’ayant pas été invité à se déterminer sur l’appel, il n’y a pas lieu à l’allocation de dépens. Par ces motifs, la juge unique de la Cour d’appel civile prononce : I. L’appel est rejeté dans la mesure où il est recevable. II. L’ordonnance est confirmée. III. La requête d’assistance judiciaire est rejetée.</w:t>
      </w:r>
    </w:p>
    <w:p>
      <w:r>
        <w:t>- 19 - IV. Les frais judiciaires de deuxième instance, arrêtés à 800 fr. (huit cents francs), sont mis à la charge de l’appelant S.________. V. L’arrêt est exécutoire. La juge unique : Le greffier : Du Le présent arrêt, dont la rédaction a été approuvée à huis clos, est notifié en expédition complète à : - S.________, - Me Miriam Mazou (pour Q.________),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