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AX19.004368 vom 18. November 2021</w:t>
      </w:r>
    </w:p>
    <w:p>
      <w:r>
        <w:t>VD Tribunal cantonal, 2021-11-18, FR</w:t>
      </w:r>
    </w:p>
    <w:p>
      <w:r>
        <w:rPr>
          <w:b/>
        </w:rPr>
        <w:t xml:space="preserve">Quelle: </w:t>
      </w:r>
      <w:r>
        <w:t>https://mcp.opencaselaw.ch/entscheid/vd_gerichte_AX19.004368</w:t>
      </w:r>
    </w:p>
    <w:p>
      <w:r>
        <w:t>FR: VD_GERICHTE AX19.004368 du 18 novembre 2021</w:t>
      </w:r>
    </w:p>
    <w:p>
      <w:r>
        <w:t>IT: VD_GERICHTE AX19.004368 del 18 novembre 2021</w:t>
      </w:r>
    </w:p>
    <w:p>
      <w:pPr>
        <w:pStyle w:val="Heading2"/>
      </w:pPr>
      <w:r>
        <w:t>Erwägungen</w:t>
      </w:r>
    </w:p>
    <w:p>
      <w:r>
        <w:rPr>
          <w:b/>
        </w:rPr>
        <w:t>E. 1</w:t>
      </w:r>
    </w:p>
    <w:p>
      <w:r>
        <w:t>a) Par jugement du 15 février 2018, le Tribunal de commerce de [...] a en substance condamné la société [...] à payer au recourant la somme d’EUR 701'196.38, hors taxes, a condamné le recourant à restituer à l’intimée la somme d’EUR 300'000.-, a condamné l’intimée, la société précitée et [...], solidairement entre eux, à payer au recourant la somme d’EUR 5'000.- sur le fondement de l’art. 700 du Code de procédure civile français, et a rejeté toute autre, plus ample ou contraire conclusion. b) Par acte reçu le 20 avril 2018 et enregistré le 3 mai 2018 par la Cour d’appel de [...], le recourant a interjeté appel de ce jugement.</w:t>
      </w:r>
    </w:p>
    <w:p>
      <w:r>
        <w:rPr>
          <w:b/>
        </w:rPr>
        <w:t>E. 1.1</w:t>
      </w:r>
    </w:p>
    <w:p>
      <w:r>
        <w:t>La voie du recours des art. 319 ss CPC (Code de procédure civile du 19 décembre 2008 ; RS 272) est ouverte contre les décisions du tribunal de l’exécution (art. 309 let. a et 319 let. a CPC ; Jeandin, in Bohnet et al., Commentaire romand, Code de procédure civile, 2e éd., Bâle 2019,</w:t>
      </w:r>
    </w:p>
    <w:p>
      <w:r>
        <w:t>- 5 - n. 5 ad art. 309 CPC), ces décisions comprenant celles relatives à la reconnaissance, la déclaration de force exécutoire et l’exécution de décisions étrangères (art. 335 al. 3 CPC ; Reetz/Theiler, in Sutter-Somm et al. [édit.], Kommentar zur Schweizerischen Zivilprozessordnung, 3e éd., Genève/Bâle/Zurich 2016, n. 12 ad art. 309 CPC). La procédure de constatation de la force exécutoire d’une décision rendue par un Etat lié à la CL – entrée en vigueur le 1er janvier 2010 en France et le 1er janvier 2011 en Suisse – est réglée aux art. 38 ss CL. Aux termes de l’art. 43 par. 5 CL (cf. art. 327a al. 3 CPC), le recours contre la décision d’exéquatur doit être formé dans un délai d’un mois à compter de sa notification auprès de l’instance de recours, soit la Chambre des recours civile du Tribunal cantonal (cf. Annexe III CL ; art. 73 al. 1 LOJV [loi d’organisation judiciaire du 12 décembre 1979 ; BLV 173.01]).</w:t>
      </w:r>
    </w:p>
    <w:p>
      <w:r>
        <w:rPr>
          <w:b/>
        </w:rPr>
        <w:t>E. 1.2</w:t>
      </w:r>
    </w:p>
    <w:p>
      <w:r>
        <w:t>Formé en temps utile contre une décision sujette à recours par une partie disposant d’un intérêt digne de protection, le recours est recevable. 2.</w:t>
      </w:r>
    </w:p>
    <w:p>
      <w:r>
        <w:rPr>
          <w:b/>
        </w:rPr>
        <w:t>E. 2</w:t>
      </w:r>
    </w:p>
    <w:p>
      <w:r>
        <w:t>Par requête d’exequatur du 21 novembre 2018, l’intimée a conclu à la mise en exécution du jugement du 15 février 2018. Le recourant n’a pas été invité à se déterminer sur la requête précitée.</w:t>
      </w:r>
    </w:p>
    <w:p>
      <w:r>
        <w:rPr>
          <w:b/>
        </w:rPr>
        <w:t>E. 2.1</w:t>
      </w:r>
    </w:p>
    <w:p>
      <w:r>
        <w:t>Le recours peut être formé pour violation du droit (art. 320 let. a CPC) et constatation manifestement inexacte des faits (art. 320 let. b CPC). S’agissant de la violation du droit, l’autorité de recours dispose d’un plein pouvoir d’examen (Spühler, in Spühler et al. [édit.], Basler Kommentar, Schweizerische Zivilprozessordnung (ZPO), 3e éd., Bâle 2017, n. 26 ad art. 319 CPC), y compris lorsque le recours est dirigé contre une décision du tribunal de l’exécution au sens des art. 38 ss CL (art. 327a al. 1 CPC). Elle revoit librement les questions de droit soulevées par le recourant et peut substituer ses propres motifs à ceux de l’autorité précédente ou du recourant (Hohl, Procédure civile, tome II, 2e éd., Berne 2010, p. 452, n. 2508).</w:t>
      </w:r>
    </w:p>
    <w:p>
      <w:r>
        <w:t>- 6 -</w:t>
      </w:r>
    </w:p>
    <w:p>
      <w:r>
        <w:rPr>
          <w:b/>
        </w:rPr>
        <w:t>E. 2.2</w:t>
      </w:r>
    </w:p>
    <w:p>
      <w:r>
        <w:t>L’art. 326 al. 1 CPC prohibe les conclusions, les allégations de fait et les preuves nouvelles en deuxième instance. Cette disposition n’est toutefois pas applicable au recours dirigé contre une décision en constat du caractère exécutoire au sens des art. 38 ss CL, dans le cadre duquel les nova sont admis aux conditions de l’art. 317 al. 1 CPC, applicable par analogie (ATF 145 III 422 consid. 5.2 et les références citées ; TF 5A_568/2012 du 24 janvier 2013 consid. 4 et les références citées). Aux termes de cette dernière disposition, un moyen de preuve nouveau n’est pris en compte que s’il est produit sans retard (let. a) et ne pouvait l’être devant la première instance, bien que la partie qui s’en prévaut ait fait preuve de la diligence requise (let. b). En l’espèce, les pièces jointes au recours sont recevables ; elles remplissent en effet les réquisits de l’art. 317 al. 1 CPC, dès lors que le recourant n’avait pas été invité à se déterminer sur la requête d’exéquatur du 21 novembre 2018. Les pièces produites par l’intimée à l’appui de sa réponse, toutes postérieures à la reddition de la décision attaquée, sont également recevables. Il en va de même de l’arrêt rendu le 1er octobre 2021 par la Cour d’appel de [...], produit le 5 octobre 2021 par le recourant, ainsi que des écritures déposées par les parties ensuite de la reddition de cet arrêt. Il a été tenu compte de ces pièces et écritures dans la mesure utile.</w:t>
      </w:r>
    </w:p>
    <w:p>
      <w:r>
        <w:rPr>
          <w:b/>
        </w:rPr>
        <w:t>E. 3</w:t>
      </w:r>
    </w:p>
    <w:p>
      <w:r>
        <w:t>Par arrêt du 1er octobre 2021, la Cour d’appel de [...] a admis l’appel déposé par le recourant contre le jugement du 15 février 2018, a infirmé ledit jugement en tant qu’il condamnait le recourant à restituer la somme d’EUR 300'000.- à l’intimée, a condamné la société [...] à verser au recourant la somme d’EUR 732'249.60 au titre de la marge commerciale, a condamné l’intimée et [...], solidairement entre eux, à verser au recourant la somme d’EUR 300'000.-, et a rejeté les conclusions de la société précitée, de l’intimée et de [...]. En d roit : 1.</w:t>
      </w:r>
    </w:p>
    <w:p>
      <w:r>
        <w:rPr>
          <w:b/>
        </w:rPr>
        <w:t>E. 3.1</w:t>
      </w:r>
    </w:p>
    <w:p>
      <w:r>
        <w:t>Le recourant se prévaut du fait que le jugement du 15 février 2018, déclaré exécutoire en Suisse par la décision querellée, a été réformé par l’arrêt rendu le 1er octobre 2021 par la Cour d’appel de [...], pour conclure à la réforme de la décision entreprise dans le sens d’un rejet de la requête d’exéquatur du 21 novembre 2018. L’intimée s’en est remise à justice, tout en relevant qu’elle entendait, de même que [...] et la société [...], déposer un pourvoi en cassation à l’encontre de l’arrêt précité.</w:t>
      </w:r>
    </w:p>
    <w:p>
      <w:r>
        <w:t>- 7 -</w:t>
      </w:r>
    </w:p>
    <w:p>
      <w:r>
        <w:rPr>
          <w:b/>
        </w:rPr>
        <w:t>E. 3.2</w:t>
      </w:r>
    </w:p>
    <w:p>
      <w:r>
        <w:t>Aux termes de l’art. 45 par. 1 CL, la juridiction saisie du recours prévu par l’art. 43 CL ne peut refuser ou révoquer une déclaration constatant la force exécutoire que pour l’un des motifs prévus par les art. 34 et 35 CL. Nonobstant la lettre de l’art. 45 par. 1 CL, s’ajoutent notamment aux motifs des art. 34 et 35 CL ceux tirés de l’inapplicabilité de la CL ou de l’absence de décision – au sens de l’art. 32 CL – à déclarer exécutoire ; de même le recourant peut-il faire valoir que la décision étrangère dont l’exéquatur est contesté n’est plus exécutoire selon le droit de l’Etat dans lequel ladite décision a été rendue (Staehelin/Bopp, in Dasser/Oberhammer [édit.] Lugano-Übereinkommen, 3e éd., Berne 2021, n. 2 et 3 ad art. 45 CL et les références citées ; Bucher, in Bucher [édit.], Commentaire romand, Loi sur le droit international privé – Convention de Lugano, Bâle 2011, n. 4 ad art. 45 CL). L’autorité de recours peut ainsi réformer la décision d’exéquatur lorsque les conditions permettant de déclarer exécutoire un jugement rendu dans un Etat partie à la CL (cf. art. 38 ss CL) ne sont pas, respectivement plus, remplies (Hofmann/Kunz, in Oetiker/Weibel [édit.], Basler Kommentar, Lugano-Übereinkommen, 2e éd., Bâle 2016, n. 22 ad art. 45 CL et les références citées).</w:t>
      </w:r>
    </w:p>
    <w:p>
      <w:r>
        <w:rPr>
          <w:b/>
        </w:rPr>
        <w:t>E. 3.3</w:t>
      </w:r>
    </w:p>
    <w:p>
      <w:r>
        <w:t>En l’espèce, le jugement rendu le 15 février 2018 par le Tribunal de commerce de [...], déclaré exécutoire par la décision attaquée, a été réformé par la Cour d’appel de [...] en date du 1er octobre 2021, de sorte que ledit jugement n’est plus exécutoire en France. Un éventuel pourvoi en cassation contre l’arrêt précité n’y changerait rien, dès lors qu’il s’agit d’une voie de droit extraordinaire (cf. art. 604 ss du Code de procédure civile français) dépourvue d’effet suspensif (art. 579 du Code de procédure civile français), l’intimée ne prétendant pas qu’une disposition spéciale de droit français, applicable au cas d’espèce, en disposerait autrement. Partant, faute pour le jugement du 15 février 2018 d’être exécutoire en France, il ne saurait être déclaré exécutoire en Suisse (cf. art. 38 par. 1 in initio CL). Il s’ensuit que le grief du recourant est fondé, la décision entreprise devant être réformée dans le sens d’un rejet de la requête d’exéquatur du 21 novembre 2018.</w:t>
      </w:r>
    </w:p>
    <w:p>
      <w:r>
        <w:t>- 8 -</w:t>
      </w:r>
    </w:p>
    <w:p>
      <w:r>
        <w:rPr>
          <w:b/>
        </w:rPr>
        <w:t>E. 4</w:t>
      </w:r>
    </w:p>
    <w:p>
      <w:r>
        <w:t>Sur le vu de ce qui précède, le recours doit être admis. Il sera à nouveau statué dans le sens qui précède, les frais judiciaires de première instance, arrêtés à 500 fr. (art. 82 al. 1 TFJC [tarif des frais judiciaires civils du 28 septembre 2010 ; BLV 270.11.5]), étant mis à la charge de l’intimée (art. 106 al. 1 CPC) et la décision étant rendue sans dépens de première instance, faute pour le recourant d’avoir été invité à se déterminer sur la requête du 21 novembre 2018. Les frais judiciaires de deuxième instance, arrêtés à 1'500 fr. (art. 82 al. 1 TFJC), seront mis à la charge de l’intimée, qui succombe (art. 106 al. 1 CPC). Ces frais seront compensés avec l’avance fournie par le recourant (art. 111 al. 1 CPC). L’intimée versera au recourant la somme de 3'000 fr. à titre de dépens et de restitution d’avance de frais de deuxième instance (art. 111 al. 2 CPC et 8 al. 1 TDC [tarif des dépens en matière civile du 23 novembre 2010 ; BLV 270.11.6]). Par ces motifs, la Chambre des recours civile du Tribunal cantonal, prononce : I. Le recours est admis. II. Il est à nouveau statué comme il suit : I. La requête d’exéquatur déposée le 21 novembre 2018 par B.________ est rejetée. II. Les frais judiciaires, arrêtés à 500 fr. (cinq cents francs), sont mis à la charge de B.________. III. Il n’est pas alloué de dépens.</w:t>
      </w:r>
    </w:p>
    <w:p>
      <w:r>
        <w:t>- 9 - III. Les frais judiciaires de deuxième instance, arrêtés à 1'500 fr. (mille cinq cents francs), sont mis à la charge de l’intimée B.________. IV. L’intimée B.________ doit verser au recourant P.________ la somme de 3'000 fr. (trois mille francs) à titre de restitution d’avance de frais et de dépens de deuxième instance. V. L’arrêt est exécutoire. Le président : La greffière : Du L’arrêt qui précède, dont la rédaction a été approuvée à huis clos, est notifié à : - Me Anath Guggenheim (pour P.________), - Me Christophe Wilhelm (pour B.________). La Chambre des recours civile considère que la valeur litigieuse est supérieure à 30'000 francs. Le présent arrêt peut faire l’objet d’un recours en matière civile devant le Tribunal fédéral (cf. art. 44 CL)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