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AX13.051763 vom 5. September 2014</w:t>
      </w:r>
    </w:p>
    <w:p>
      <w:r>
        <w:t>VD Tribunal cantonal, 2014-09-05, FR</w:t>
      </w:r>
    </w:p>
    <w:p>
      <w:r>
        <w:rPr>
          <w:b/>
        </w:rPr>
        <w:t xml:space="preserve">Quelle: </w:t>
      </w:r>
      <w:r>
        <w:t>https://mcp.opencaselaw.ch/entscheid/vd_gerichte_AX13.051763</w:t>
      </w:r>
    </w:p>
    <w:p>
      <w:r>
        <w:t>FR: VD_GERICHTE AX13.051763 du 5 septembre 2014</w:t>
      </w:r>
    </w:p>
    <w:p>
      <w:r>
        <w:t>IT: VD_GERICHTE AX13.051763 del 5 settembre 2014</w:t>
      </w:r>
    </w:p>
    <w:p>
      <w:pPr>
        <w:pStyle w:val="Heading2"/>
      </w:pPr>
      <w:r>
        <w:t>Erwägungen</w:t>
      </w:r>
    </w:p>
    <w:p>
      <w:r>
        <w:rPr>
          <w:b/>
        </w:rPr>
        <w:t>E. 1</w:t>
      </w:r>
    </w:p>
    <w:p>
      <w:r>
        <w:t>J.________ est une société de droit suisse active dans le secteur de l’exploitation de méthodes spécifiques de formation et de développement du management en entreprises (leadership, team building, etc).</w:t>
      </w:r>
    </w:p>
    <w:p>
      <w:r>
        <w:t>- 3 -</w:t>
      </w:r>
    </w:p>
    <w:p>
      <w:r>
        <w:rPr>
          <w:b/>
        </w:rPr>
        <w:t>E. 2</w:t>
      </w:r>
    </w:p>
    <w:p>
      <w:r>
        <w:t>De 2005 à 2009, B.________ a travaillé en Espagne en qualité d’agente de J.________.</w:t>
      </w:r>
    </w:p>
    <w:p>
      <w:r>
        <w:rPr>
          <w:b/>
        </w:rPr>
        <w:t>E. 3</w:t>
      </w:r>
    </w:p>
    <w:p>
      <w:r>
        <w:t>B.________ a ouvert action contre J.________ devant le Tribunal de Première Instance 33 de Barcelone. Le 15 décembre 2009, l’acte introductif d’instance a été notifié à [...], employée de [...] [...]. Par jugement du 29 octobre 2010, le Tribunal de Première Instance 33 de Barcelone a condamné par défaut J.________ à payer à B.________ le montant de 61'829 € 82 avec intérêts légaux depuis la date de l’action en justice ainsi que les dépens résultant du jugement. Le 6 juin 2011, le même Tribunal a prononcé le caractère exécutoire de la décision susmentionnée.</w:t>
      </w:r>
    </w:p>
    <w:p>
      <w:r>
        <w:rPr>
          <w:b/>
        </w:rPr>
        <w:t>E. 4</w:t>
      </w:r>
    </w:p>
    <w:p>
      <w:r>
        <w:t>Par requête d’exequatur déposée le 26 novembre 2013, B.________ a conclu à ce que les deux jugements susmentionnés soient déclarés exécutoires en Suisse.</w:t>
      </w:r>
    </w:p>
    <w:p>
      <w:r>
        <w:rPr>
          <w:b/>
        </w:rPr>
        <w:t>E. 5</w:t>
      </w:r>
    </w:p>
    <w:p>
      <w:r>
        <w:t>Au vu de ce qui précède, le recours doit être rejeté et la décision confirmée. Il n’y a dès lors pas lieu de statuer sur la requête de mesures d’instruction de la recourante, celle-ci étant devenue sans objet. Les frais judiciaires de deuxième instance, arrêtés – vu la valeur litigieuse de 61'829 € 82 convertie en francs suisse, soit 74'195 fr. – à 1'042 fr. (art. 69 al. 1 TFJC [tarif des frais judiciaires civils du 28 septembre 2010 ; RSV 270.11.5]), sont mis à la charge de la recourante, qui succombe (art. 106 al. 1 CPC). La recourante versera en outre à l’intimée la somme de 1'200 fr. à titre de dépens de deuxième instance (art. 3 et 8 TDC [tarif des dépens en matière civile du 23 novembre 2010 ; RSV 270.11.6]). Par ces motifs, la Chambre des recours civile du Tribunal cantonal, statuant à huis clos, prononce : I. Le recours est rejeté, dans la mesure où il est recevable. II. La décision est confirmée.</w:t>
      </w:r>
    </w:p>
    <w:p>
      <w:r>
        <w:t>- 12 - III. Les frais judiciaires de deuxième instance, arrêtés à 1'042 fr. (mille quarante-deux francs), sont mis à la charge de la recourante. IV. La recourante J.________ doit verser à l’intimée B.________ la somme de 1'200 fr. (mille deux cents francs) à titre de dépens de deuxième instance. V. L’arrêt motivé est exécutoire. Le président : Le greffier : Du 8 septembre 2014 Le dispositif de l'arrêt qui précède est communiqué par écrit aux intéressés. Le greffier : Du L'arrêt qui précède, dont la rédaction a été approuvée à huis clos, est notifié en expédition complète, par l'envoi de photocopies, à : - M. Xavier Petremand, avocat (pour J.________), - M. Vincent Reardon-Kofmel, avocat (pour B.________). La Chambre des recours civile considère que la valeur litigieuse est supérieure à 30'000 francs.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