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AP25.025977 vom 12. Januar 2026</w:t>
      </w:r>
    </w:p>
    <w:p>
      <w:r>
        <w:t>VD Tribunal cantonal, 2026-01-12, FR</w:t>
      </w:r>
    </w:p>
    <w:p>
      <w:r>
        <w:rPr>
          <w:b/>
        </w:rPr>
        <w:t xml:space="preserve">Quelle: </w:t>
      </w:r>
      <w:r>
        <w:t>https://mcp.opencaselaw.ch/entscheid/vd_gerichte_AP25.025977</w:t>
      </w:r>
    </w:p>
    <w:p>
      <w:r>
        <w:t>FR: VD_GERICHTE AP25.025977 du 12 janvier 2026</w:t>
      </w:r>
    </w:p>
    <w:p>
      <w:r>
        <w:t>IT: VD_GERICHTE AP25.025977 del 12 gennaio 2026</w:t>
      </w:r>
    </w:p>
    <w:p>
      <w:pPr>
        <w:pStyle w:val="Heading2"/>
      </w:pPr>
      <w:r>
        <w:t>Erwägungen</w:t>
      </w:r>
    </w:p>
    <w:p>
      <w:r>
        <w:rPr>
          <w:b/>
        </w:rPr>
        <w:t>E. 21</w:t>
      </w:r>
    </w:p>
    <w:p>
      <w:r>
        <w:t>décembre 1937 ; RS 311.0). Comme le préconisaient la FVP et l'OEP, une assistance de probation était également nécessaire afin d'exercer un utile rappel à la loi et d'épauler C.________, lequel semblait isolé, dans ses démarches administratives. La magistrate a ajouté que si C.________ avait déclaré refuser vouloir tout contact avec la FVP, il n'était pas exclu qu'il prenne conscience de la nécessité de se conformer aux conditions assortissant sa libération conditionnelle et qu'il se présente tout de même aux rendez-vous fixés, s'étant montré collaborant durant l'exécution de se peine, sous peine de s'exposer à la révocation éventuelle de sa libération conditionnelle. C. Par acte du 5 janvier 2026, C.________ a recouru devant la Chambre des recours pénale contre cette ordonnance en concluant à sa réforme en ce sens qu'il n'est pas libéré conditionnellement et doit purger sa peine jusqu'à la fin, sous le régime de la surveillance électronique. Il déclarait refuser la mise à l’épreuve durant une année et l’assistance de probation durant ce délai. Il n’a pas été ordonné d’échange d’écritures. En dro 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12J010</w:t>
      </w:r>
    </w:p>
    <w:p>
      <w:r>
        <w:t>- 6 -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le recours a été interjeté en temps utile, auprès de l’autorité compétente, par un condamné qui a un intérêt au recours (art. 382 al. 1 CPP), dans la mesure où il conteste les modalités de sa libération conditionnelle. En effet, dans la seule mesure où le recourant conteste sa libération conditionnelle, il ne dispose pas d’un intérêt juridique actuel, cette libération lui étant favorable. Partant, le recours est recevable sous cet angle et sous réserve de ce qui suit (cf. consid. 2.3 infra). 2. 2.1 Le recourant conteste présenter un risque de récidive. En outre, il refuse « catégoriquement » qu'on lui fixe un délai d'épreuve d'une année et qu'on l'astreigne à une assistance de probation durant ce délai. 2.2 2.2.1 Aux termes de l'art. 86 al. 1 CP, applicable aux personnes exécutant leur peine sous le régime de la surveillance électronique (art. 20 RESE [règlement concordataire sur l’exécution des peines privatives de liberté sous surveillance électronique du 20 décembre 2017 ; BLV 340.95.5]),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12J010</w:t>
      </w:r>
    </w:p>
    <w:p>
      <w:r>
        <w:t>- 7 - conduira bien en liberté (cf. art. 38 ch. 1 al. 1 aCP [RO 1971, p. 777]), mais seulement qu'il ne soit pas à craindre qu'il commette de nouveaux crimes ou délits. Autrement dit, il n'est pas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 TF 7B_189/2025 du 11 septembre 2025 consid. 2.1.1).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Il y a également lieu de rechercher si la libération conditionnelle, éventuellement assortie d'une assistance de probation ou de règles de conduite, ne favoriserait pas mieux la resocialisation de l'auteur que l'exécution complète de la peine (ATF 124 IV 193 consid. 4d/aa et 4d/bb ; TF 7B_189/2025 précité). Dans l'émission du pronostic, l'autorité compétente dispose d'un large pouvoir d'appréciation (ATF 133 IV 201 consid. 2.3 ; TF 7B_189/2025 précité). 2.2.2 Aux termes de l’art. 87 al. 1 CP, l'autorité compétente imparti au condamné libéré conditionnellement un délai d'épreuve égal à la durée du solde de sa peine. Ce délai est toutefois d'un an au moins et de cinq ans au plus. Le fait d'impartir un délai d'épreuve est une conséquence obligatoire de l'octroi de la libération conditionnelle (cf. notamment Wohlers, in : Wohlers/Godenzi/Schlegel, Schweizerisches Strafgesetzbuch, HandKommentar, 5e éd., Berne 2024, n. 1 ad art. 87 StGB [« zwingend »]). Selon l'art. 87 al. 2 CP, l’autorité d’exécution ordonne, en règle générale, une assistance de probation pour la durée du délai d’épreuve. 12J010</w:t>
      </w:r>
    </w:p>
    <w:p>
      <w:r>
        <w:t>- 8 - 2.2.3 Aux termes de l'art. 93 al. 1 CP, l'assistance de probation doit préserver les personnes prises en charge de la commission de nouvelles infractions, et favoriser leur intégration sociale. L'autorité chargée de l'assistance de probation apporte l'aide nécessaire directement ou en collaboration avec d'autres spécialistes. L'assistance de probation vise à aider les personnes prises en charge à surmonter leurs difficultés personnelles, psychiques, matérielles ou professionnelles, afin notamment d'empêcher la commission de nouvelles infractions (Dupuis et al., op. cit., n. 2 ad art. 93 CP). La jurisprudence a qualifié l'assistance de probation et les règles de conduite comme des mesures d'accompagnement qui tendent non seulement à permettre la réinsertion du condamné, mais qui visent aussi à réduire le danger de récidive pendant la période d'épreuve, objectif qui ressort expressément de l'art. 93 al. 1 CP. Sous cet angle, l'assistance de probation et les règles de conduite impliquent donc de tenir compte de la sécurité publique, laquelle a déjà été lésée par l'infraction qui a donné lieu à la privation de liberté faisant l'objet de la libération conditionnelle (TF 7B_38/2024 du 26 février 2024 consid. 4.1.2 et les arrêts cités). 2.2.4 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Lorsque la décision attaquée repose sur une double motivation dont chaque pan est indépendant et suffit à sceller l'issue de la cause, le recours doit discuter chacune de ces motivations. La motivation d'un acte de recours doit être entièrement contenue dans l'acte lui-même et ne saurait être complétée ultérieurement (TF 7B_11/2024 du 27 juin 2025 consid. 3.2 et les arrêts cités). 2.3 En l’espèce, selon la FVP, l'exécution de peine du recourant sous le régime de la surveillance électronique se passe bien. En outre, il a atteint les deux tiers de sa peine le 27 décembre 2025. Les deux premières 12J010</w:t>
      </w:r>
    </w:p>
    <w:p>
      <w:r>
        <w:t>- 9 - conditions de l'art. 86 al. 1 CP sont donc remplies. L'examen porte ainsi sur le risque de commission de nouvelles infractions et les modalités de la libération conditionnelle, que le recourant désapprouve. Dans l'un de ses griefs, il conteste le bien-fondé de ses deux condamnations, estimant avoir été la victime de « l'acharnement (…) de la part de certaines juges partiales est sexiste (sic) » et de « fausses accusations » portées contre lui. Ce faisant, il ne fait qu'étayer les motifs ayant fondé la mauvaise impression qu'il a faite à l'audience de la juge d'application des peines, caractérisée par une absence de prise de conscience et une victimisation. Surtout, il n'essaie pas de démontrer en quoi les conditions posées par l'art. 87 al. 1 et 2 CP ne seraient pas remplies, de sorte qu'il est douteux que son acte de recours soit recevable sous l'angle de l'art. 385 al. 1 CPP et de la jurisprudence y relative (cf. consid. 2.2.4 supra). De toute manière, le fait d'impartir un délai d'épreuve est une conséquence obligatoire de l'octroi de la libération conditionnelle (cf. consid. 2.2.2 supra). Quant à la durée d'un an en tant que telle, le recourant ne la critique pas et elle n'est pas critiquable, l'autorité ayant fixé la durée minimale possible, conformément à l'art. 87 al. 1 CP. Enfin, la jurisprudence a qualifié l'assistance de probation comme une mesure d'accompagnement qui tend non seulement à permettre la réinsertion du condamné mais qui vise aussi à réduire le danger de récidive pendant la période d'épreuve et cet objectif ressort expressément de l'art. 93 al. 1 CP (cf. consid. 2.2.3 supra). Ainsi, alors que la décision attaquée précise les motifs – lesquels sont complets et convaincants – pour lesquels il est nécessaire que le recourant soit aidé par une assistance de probation, celui-ci se contente de déclarer qu'il la refuse, sans essayer de démontrer en quoi ceux-ci seraient erronés. Quant au risque de récidive, il est difficile de considérer qu'il n'est plus présent, compte tenu du positionnement que le recourant adopte par rapport aux infractions qu'il a commises et aux condamnations qui lui ont été infligées. C'est donc à raison que la juge d'application des peines a considéré qu'une telle assistance – qui est usuelle – devait être mise en place. Elle permettra d'assurer un certain cadre au recourant, et aider celui-ci dans sa vie courante. 12J010</w:t>
      </w:r>
    </w:p>
    <w:p>
      <w:r>
        <w:t>- 10 - 3. En définitive, le recours, manifestement mal fondé, doit être rejeté dans la mesure où il est recevable, sans échange d’écritures (art. 390 al. 2 CPP), et l’ordonnance du 23 décembre 2025 confirmée. Les frais de la procédure de recours, constitués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23 décembre 2025 est confirmée. III. Les frais d’arrêt, par 990 fr. (neuf cent nonante francs), sont mis à la charge de C.________. IV. L’arrêt est exécutoire. La présidente : La greffière : Du Le présent arrêt, dont la rédaction a été approuvée à huis clos, est notifié, par l'envoi d'une copie complète, à : - C.________, - Ministère public central, 12J010</w:t>
      </w:r>
    </w:p>
    <w:p>
      <w:r>
        <w:t>- 11 - et communiqué à : - Mme la juge d'application des peines, - M. le Procureur de l'arrondissement de l'Est vaudois, - OEP (réf. : OEP/SMO/166418/BD/GAM), - Fondation vaudoise de probation,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