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AP25.025719 vom 9. Dezember 2025</w:t>
      </w:r>
    </w:p>
    <w:p>
      <w:r>
        <w:t>VD Tribunal cantonal, 2025-12-09, FR</w:t>
      </w:r>
    </w:p>
    <w:p>
      <w:r>
        <w:rPr>
          <w:b/>
        </w:rPr>
        <w:t xml:space="preserve">Quelle: </w:t>
      </w:r>
      <w:r>
        <w:t>https://mcp.opencaselaw.ch/entscheid/vd_gerichte_AP25.025719</w:t>
      </w:r>
    </w:p>
    <w:p>
      <w:r>
        <w:t>FR: VD_GERICHTE AP25.025719 du 9 décembre 2025</w:t>
      </w:r>
    </w:p>
    <w:p>
      <w:r>
        <w:t>IT: VD_GERICHTE AP25.025719 del 9 dicembre 2025</w:t>
      </w:r>
    </w:p>
    <w:p>
      <w:pPr>
        <w:pStyle w:val="Heading2"/>
      </w:pPr>
      <w:r>
        <w:t>Erwägungen</w:t>
      </w:r>
    </w:p>
    <w:p>
      <w:r>
        <w:rPr>
          <w:b/>
        </w:rPr>
        <w:t>E. 23</w:t>
      </w:r>
    </w:p>
    <w:p>
      <w:r>
        <w:t>septembre 2025. Or, comme on l’a vu, cette perspective doit désormais être réexaminée à la lumière du préavis ultérieur de la CIC, favorable au maintien de la mesure et à une remise en place du TELEX. Au vu de ce qui précède, les futures demande de congé ne devront pas être examinées sous l’angle du risque de récidive, mais à l’aune des objectifs de réinsertion et des besoins thérapeutiques de la recourante, en application de l’art. 4 RASAdultes al. 1 let. c, e et f, notamment. Or, ces objectifs et besoins dépendront du cadre légal à venir (levée ou maintien de la mesure, éventuelle autre mesure telle qu’un traitement ambulatoire, maintien de la mesure avec travail externe uniquement ou maintien de la mesure et TELEX). Ce cadre étant encore indéterminé et la recourante ne démontrant pas, à ce stade, un besoin immédiat et concret d’obtenir un logement, elle ne saurait dès lors, pour ce motif, bénéficier d’un congé. 4. En définitive, le recours doit être rejeté par substitution de motifs, sans échange d’écritures (art. 390 al. 2 CPP). La recourante a requis d’être mise au bénéfice de l’assistance judiciaire pour la procédure de recours. Cette requête doit être admise, les conditions fixées par l’art. 18 al. 1 LPA-VD (loi vaudoise sur la procédure administrative du 28 octobre 2008 ; BLV 173.36) étant réalisées, la recourante, détenue depuis plusieurs années, étant indigente et la cause non dépourvue de chances de succès. En outre, la situation de cette dernière, tant sur le plan factuel que juridique, nécessite qu’elle soit assistée d’un conseil d’office, de sorte Me Benjamin Schwab lui sera désigné en cette qualité (art. 18 al. 2 LPA-VD). 12J010</w:t>
      </w:r>
    </w:p>
    <w:p>
      <w:r>
        <w:t>- 14 - Compte tenu de la nature de l’affaire et de l’acte de recours, l’indemnité allouée à Me Benjamin Schwab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Les frais de la procédure de recours, constitués en l’espèce de l’émolument d'arrêt, par 1’430 fr. (art. 20 al. 1 TFIP), et des frais imputables au mandat d’office (art. 422 al. 1 et 2 let. a CPP), par 596 fr., seront exceptionnellement laissés à la charge de l’Etat, dans la mesure où la motivation de l’autorité intimée était erronée et lacunaire. Par ces motifs, la Chambre des recours pénale prononce : I. Le recours est rejeté. II. La demande d’assistance judiciaire d’A.________ est admise et Me Benjamin Schwab lui est désigné comme conseil d’office pour la procédure de recours. III. L’indemnité allouée à Me Benjamin Schwab, conseil d’office d’A.________, est fixée à 596 fr. (cinq cent nonante-six francs). IV. Les frais d’arrêt, par fr. 1’430 fr. (mille quatre cent trente francs), ainsi que l’indemnité due au conseil d’office 12J010</w:t>
      </w:r>
    </w:p>
    <w:p>
      <w:r>
        <w:t>- 15 - d’A.________, par 596 fr. (cinq cent nonante-six francs), sont laissés à la charge de l’Etat. V. L’arrêt est exécutoire. Le président : Le greffier : Du Le présent arrêt, dont la rédaction a été approuvée à huis clos, est notifié, par l'envoi d'une copie complète, à : - Me Benjamin Schwab, avocat (pour A.________), - Ministère public central, et communiqué à : - Office d’exécution des peines,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