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AP25.023089 vom 7. November 2025</w:t>
      </w:r>
    </w:p>
    <w:p>
      <w:r>
        <w:t>VD Tribunal cantonal, 2025-11-07, FR</w:t>
      </w:r>
    </w:p>
    <w:p>
      <w:r>
        <w:rPr>
          <w:b/>
        </w:rPr>
        <w:t xml:space="preserve">Quelle: </w:t>
      </w:r>
      <w:r>
        <w:t>https://mcp.opencaselaw.ch/entscheid/vd_gerichte_AP25.023089</w:t>
      </w:r>
    </w:p>
    <w:p>
      <w:r>
        <w:t>FR: VD_GERICHTE AP25.023089 du 7 novembre 2025</w:t>
      </w:r>
    </w:p>
    <w:p>
      <w:r>
        <w:t>IT: VD_GERICHTE AP25.023089 del 7 novembre 2025</w:t>
      </w:r>
    </w:p>
    <w:p>
      <w:pPr>
        <w:pStyle w:val="Heading2"/>
      </w:pPr>
      <w:r>
        <w:t>Erwägungen</w:t>
      </w:r>
    </w:p>
    <w:p>
      <w:r>
        <w:rPr>
          <w:b/>
        </w:rPr>
        <w:t>E. 3</w:t>
      </w:r>
    </w:p>
    <w:p>
      <w:r>
        <w:t>En définitive, le recours doit être rejeté, dans la mesure où il est recevable, sans échange d’écritures (art. 390 al. 2 CPP), et la décision du 13 octobre 2025 confirmée. X.________ a demandé l’assistance judiciaire pour la procédure de recours ainsi que la désignation de Me Kathrin Gruber en qualité de conseil d’office. En l’occurrence, le recourant est indigent et son recours n’apparaissait pas d’emblée dénué de chances de succès. En outre, l’assistance d’un mandataire professionnel était nécessaire compte tenu de la complexité de la cause ainsi que des conséquences importantes de la décision entreprise sur la situation du recourant. Les conditions fixées par l’art. 18 al. 1 et 2 LPA-VD (loi vaudoise sur la procédure administrative du 28 octobre 2008 ; BLV 173.36) sont ainsi réalisées, de sorte que l’assistance judiciaire doit être octroyée et Me Kathrin Gruber désigné en qualité de conseil d’office pour la procédure de recours (art. 18 al. 4 LPA- VD). Au vu de la nature de l’affaire et du mémoire de recours, il sera retenu trois heures d’activité nécessaire d’avocat, indemnisées au tarif horaire de 180 fr. (art. 2 al. 1 let. a RAJ [règlement du 7 décembre 2010 sur l'assistance judiciaire en matière civile ; BLV 211.02.3], par renvoi de l’art. 18 al. 5 LPA-VD), soit 540 francs. Viennent s’y ajouter des débours forfaitaires à concurrence de 2 % des honoraires admis (art. 3bis</w:t>
      </w:r>
    </w:p>
    <w:p>
      <w:r>
        <w:t>- 15 - al. 1 RAJ), par 10 fr. 80, et la TVA au taux de 8,1 % sur le tout, par 44 fr. 61. Au total, l’indemnité s’élève à 596 fr. en chiffres ronds. Les frais d’arrêt, par 1’540 fr. (art. 20 al. 1 TFIP [tarif des frais de procédure et indemnités en matière pénale du 28 septembre 2010 ; BLV 312.03.1]), ainsi que l’indemnité due au conseil d’office, fixée à 596 fr., seront mis à la charge du recourant, qui succombe (art. 428 al. 1 CPP), mais provisoirement laissés à la charge de l’Etat (cf. CREP 2 mai 2024/331 consid. 3). Le recourant sera tenu au remboursement des frais, comprenant l’indemnité due à son avocat d’office, laissés provisoirement à la charge de l’Etat, dès qu’il sera en mesure de le faire (art. 123 CPC [Code de procédure civile du 19 décembre 2008 ; RS 272], par renvoi de l’art. 18 al. 5 LPA-VD ; cf. CREP précité). Par ces motifs, la Chambre des recours pénale prononce : I. Le recours est rejeté dans la mesure où il est recevable. II. La décision du 13 octobre 2025 est confirmée. III. La requête d’assistance judiciaire est admise et Me Kathrin Gruber est désignée en qualité de conseil d’office de X.________ pour la procédure de recours. IV. L’indemnité allouée au conseil d’office de X.________ est fixée à 596 fr. (cinq cent nonante-six francs). V. Les frais de la présente procédure, comprenant les frais d’arrêt par 1’540 fr. (mille cinq cent quarante francs), ainsi que les frais imputables à l’assistance du conseil d’office de X.________, par 596 fr. (cinq cent nonante-six francs), sont provisoirement laissés à la charge de l’Etat. VI. X.________, bénéficiaire de l’assistance judiciaire, sera tenu de rembourser à l’Etat les frais d’arrêt provisoirement laissés à la</w:t>
      </w:r>
    </w:p>
    <w:p>
      <w:r>
        <w:t>- 16 - charge de l’Etat, par 1’540 fr. (mille cinq cent quarante francs), ainsi que l’indemnité allouée à son conseil d’office pour la procédure de recours, par 596 fr. (cinq cent nonante-six francs), dès qu’il sera en mesure de le faire. VII. L’arrêt est exécutoire. Le président : La greffière : Du Le présent arrêt, dont la rédaction a été approuvée à huis clos, est notifié, par l'envoi d'une copie complète, à : - Me Kathrin Gruber, avocate (pour X.________), - Ministère public central, et communiqué à : - OEP, - Direction de l’EEP de Bellevue,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