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AP25.016431 vom 3. September 2025</w:t>
      </w:r>
    </w:p>
    <w:p>
      <w:r>
        <w:t>VD Tribunal cantonal, 2025-09-03, FR</w:t>
      </w:r>
    </w:p>
    <w:p>
      <w:r>
        <w:rPr>
          <w:b/>
        </w:rPr>
        <w:t xml:space="preserve">Quelle: </w:t>
      </w:r>
      <w:r>
        <w:t>https://mcp.opencaselaw.ch/entscheid/vd_gerichte_AP25.016431</w:t>
      </w:r>
    </w:p>
    <w:p>
      <w:r>
        <w:t>FR: VD_GERICHTE AP25.016431 du 3 septembre 2025</w:t>
      </w:r>
    </w:p>
    <w:p>
      <w:r>
        <w:t>IT: VD_GERICHTE AP25.016431 del 3 settembre 2025</w:t>
      </w:r>
    </w:p>
    <w:p>
      <w:pPr>
        <w:pStyle w:val="Heading2"/>
      </w:pPr>
      <w:r>
        <w:t>Erwägungen</w:t>
      </w:r>
    </w:p>
    <w:p>
      <w:r>
        <w:rPr>
          <w:b/>
        </w:rPr>
        <w:t>E. 1.1</w:t>
      </w:r>
    </w:p>
    <w:p>
      <w:r>
        <w:t>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w:t>
      </w:r>
    </w:p>
    <w:p>
      <w:r>
        <w:t>- 5 -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 CREP 5 août 2025/584 consid. 1.2 et les arrêts cités).</w:t>
      </w:r>
    </w:p>
    <w:p>
      <w:r>
        <w:rPr>
          <w:b/>
        </w:rPr>
        <w:t>E. 1.3</w:t>
      </w:r>
    </w:p>
    <w:p>
      <w:r>
        <w:t>En l’espèce, le recours a été déposé en temps utile devant l’autorité compétente, par le condamné qui a qualité pour recourir (cf. art. 382 al. 1 CPP). Toutefois, dans la mesure où il ne contient ni conclusion, ni argumentation relative aux conditions de l’art. 86 CP (Code pénal suisse du 21 décembre 1937 ; RS 311.0) sur laquelle le recourant pourrait prétendre se fonder pour faire modifier l’ordonnance entreprise en sa faveur, il est douteux que celui-ci remplisse les exigences de motivation posées à l’art. 385 al. 1 CPP. Quoi qu’il en soit, le recours doit être rejeté pour les motifs exposés ci-dessous.</w:t>
      </w:r>
    </w:p>
    <w:p>
      <w:r>
        <w:rPr>
          <w:b/>
        </w:rPr>
        <w:t>E. 2</w:t>
      </w:r>
    </w:p>
    <w:p>
      <w:r>
        <w:t>Dans son acte daté du 21 août 2025, le recourant indique avoir vécu, entre 2012 et 2014, un « cauchemar dû à son addiction aux produits stupéfiants », précisant avoir, durant cette période, eu « quelques</w:t>
      </w:r>
    </w:p>
    <w:p>
      <w:r>
        <w:t>- 6 - amendes, TPG et consommation de stupéfiants sur la voie publique ». Il précise qu’il ne s’en est jamais pris « aux autres et aux biens d’autrui ». Il émet des regrets, déclarant être désormais sexagénaire et avoir « pas mal de projets qui vont dans le bon sens ».</w:t>
      </w:r>
    </w:p>
    <w:p>
      <w:r>
        <w:rPr>
          <w:b/>
        </w:rPr>
        <w:t>E. 2.1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 7B_179/2025 du 4 avril 2025 consid. 3.1.1 ; TF 7B_1294/2024 du 23 janvier 2025 consid. 3.2 et les arrêts cités).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TF 7B_179/2025 précité ; TF 7B_1294/2024 précité et les arrêts cités). Le Tribunal fédéral exige de procéder à un pronostic différentiel. Il s'agit d'examiner la dangerosité de l'auteur et si celle-ci diminuera, demeurera inchangée ou augmentera en cas d'exécution complète de la peine. Afin de procéder à un tel pronostic, il sied de comparer les avantages et désavantages de l'exécution de la peine avec la libération conditionnelle (ATF 124 IV 193 consid. 4a et 5b/bb ; TF 7B_179/2025 précité ; TF 7B_1294/2024 précité et les arrêts cités).</w:t>
      </w:r>
    </w:p>
    <w:p>
      <w:r>
        <w:rPr>
          <w:b/>
        </w:rPr>
        <w:t>E. 2.2</w:t>
      </w:r>
    </w:p>
    <w:p>
      <w:r>
        <w:t>En l’espèce, le premier juge a exposé de manière circonstanciée, en se référant aux critères dégagés par la jurisprudence</w:t>
      </w:r>
    </w:p>
    <w:p>
      <w:r>
        <w:t>- 7 - relative à l’art. 86 CP, les motifs pour lesquels il a retenu qu’un pronostic défavorable devait être posé quant au comportement futur du recourant, d’une part, et qu’une amélioration de ce comportement pouvait être attendue de l’exécution complète de la peine, d’autre part. Son raisonnement, fondé sur une appréciation globale de la situation du condamné, ne prête pas le flanc à la critique et doit être confirmé. En effet, le recourant présente un lourd passé judiciaire marqué par une délinquance polymorphe et par plusieurs condamnations, y compris pour des infractions graves (tentative de brigandage, vol, délit contre la loi fédérale sur les stupéfiants), ainsi qu’une précédente libération conditionnelle qui n’a manifestement pas produit l’effet escompté. Ses promesses d’amendement, formulées de manière générale, ne s’appuient sur aucun projet concret de réinsertion socio-professionnelle ni sur une réelle démarche introspective. Dans ces conditions, elles ne sauraient constituer une garantie crédible permettant de poser un pronostic autre que celui déjà posé par l’autorité intimée. Au vu de ce qui précède, c’est à juste titre que le Juge d’application a considéré, à l’instar de l’Office d’exécution des peines et de la Direction de la prison de Champ-Dollon, que le pronostic était résolument défavorable, de sorte qu’il y avait lieu de refuser la libération conditionnelle au recourant.</w:t>
      </w:r>
    </w:p>
    <w:p>
      <w:r>
        <w:rPr>
          <w:b/>
        </w:rPr>
        <w:t>E. 3</w:t>
      </w:r>
    </w:p>
    <w:p>
      <w:r>
        <w:t>En définitive, le recours, manifestement mal fondé, doit être rejeté dans la mesure où il est recevable, sans échange d’écritures (art. 390 al. 2 CPP), et l’ordonnance entreprise confirmée. Vu l’issue de la cause, les frais de la procédure de recours, constitués du seul émolument d’arrêt (art. 422 al. 1 CPP), par 770 fr. (art. 20 al. 1 TFIP [tarif des frais de procédure et indemnités en matière pénale du 28 septembre 2010 ; BLV 312.03.1]), seront mis à la charge du recourant, qui succombe (art. 428 al. 1 CPP).</w:t>
      </w:r>
    </w:p>
    <w:p>
      <w:r>
        <w:t>- 8 - Par ces motifs, la Chambre des recours pénale prononce : I. Le recours est rejeté dans la mesure où il est recevable. II. L’ordonnance du 19 août 2025 est confirmée. III. Les frais d’arrêt, par 770 fr. (sept cent septante francs), sont mis à la charge de F.________. IV. L’arrêt est exécutoire. Le président : Le greffier : Du Le présent arrêt, dont la rédaction a été approuvée à huis clos, est notifié, par l'envoi d'une copie complète, à : - M. F.________, - Ministère public central, et communiqué à : - M. le Juge d’application des peines, - M. le Procureur de l’arrondissement de Lausanne, - Office d’exécution des peines (réf. : OEP/CPPL/164341/BD/MTI), - Direction de la prison de Champ-Dollon, - Service de la population,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