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AP25.015721 vom 28. August 2025</w:t>
      </w:r>
    </w:p>
    <w:p>
      <w:r>
        <w:t>VD Tribunal cantonal, 2025-08-28, FR</w:t>
      </w:r>
    </w:p>
    <w:p>
      <w:r>
        <w:rPr>
          <w:b/>
        </w:rPr>
        <w:t xml:space="preserve">Quelle: </w:t>
      </w:r>
      <w:r>
        <w:t>https://mcp.opencaselaw.ch/entscheid/vd_gerichte_AP25.015721</w:t>
      </w:r>
    </w:p>
    <w:p>
      <w:r>
        <w:t>FR: VD_GERICHTE AP25.015721 du 28 août 2025</w:t>
      </w:r>
    </w:p>
    <w:p>
      <w:r>
        <w:t>IT: VD_GERICHTE AP25.015721 del 28 agosto 2025</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w:t>
      </w:r>
    </w:p>
    <w:p>
      <w:r>
        <w:t>- 7 -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auprès de l’autorité compétente, par le condamné qui a la qualité pour recourir (art. 382 al. 1 CPP). Partant, le recours est recevable. Il en va de même des pièces nouvelles annexées au recours (art. 389 al. 3 CPP).</w:t>
      </w:r>
    </w:p>
    <w:p>
      <w:r>
        <w:rPr>
          <w:b/>
        </w:rPr>
        <w:t>E. 2.1</w:t>
      </w:r>
    </w:p>
    <w:p>
      <w:r>
        <w:t>Le recourant invoque qu’il a eu un comportement exemplaire en détention, qu’il exécutait sa peine avec sérieux et qu’il a un emploi stable et un domicile fixe, constituant selon lui des garanties concrètes de réinsertion et de stabilité sociale. Il précise qu’il serait disposé à se soumettre à un suivi psychologique ou un programme de gestion des émotions et ajoute que, lors des périodes où il avait commis des infractions, il n’était pas dans un état psychologique équilibré, qu’il en avait pleine conscience aujourd’hui, qu’il présentait ses excuses les plus sincères tant à la justice qu’à la société, que cette expérience l’avait profondément marqué et qu’il n’avait peut-être pas su exprimer cela de manière adéquate lors de l’audience. Il ajoute que sa démarche est sincère et que sa volonté de changement est durable.</w:t>
      </w:r>
    </w:p>
    <w:p>
      <w:r>
        <w:rPr>
          <w:b/>
        </w:rPr>
        <w:t>E. 2.2</w:t>
      </w:r>
    </w:p>
    <w:p>
      <w:r>
        <w:t>Aux termes de l'art. 86 al. 1 CP, applicable aux personnes exécutant leur peine sous le régime de la surveillance électronique (art. 20 RESE [règlement concordataire sur l’exécution des peines privatives de liberté sous surveillance électronique du 20 décembre 2017 ; BLV 340.95.5]),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w:t>
      </w:r>
    </w:p>
    <w:p>
      <w:r>
        <w:t>- 8 -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TF 7B_932/2024 du 20 janvier 2025 consid. 3.3.1 ; 7B_644/2024 du 14 octobre 2024 consid. 2.2.2; 7B_388/2023 du 29 septembre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références citées ; TF 7B_932/2024 du 20 janvier 2025 consid. 3.3.1 et les références citées).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TF 7B_644/2024 du 14 octobre 2024 consid. 2.2.2). Afin de procéder à un pronostic différentiel, il sied de comparer les avantages et désavantages de l'exécution de la peine avec la libération</w:t>
      </w:r>
    </w:p>
    <w:p>
      <w:r>
        <w:t>- 9 - conditionnelle et déterminer, notamment, si le degré de dangerosité que représente le détenu diminuera, restera le même ou augmentera en cas d'exécution complète de la peine (ATF 124 IV 193 consid. 4d et 5b/bb; TF 7B_1294/2024 du 23 janvier 2025 consid. 32 ; 7B_932/2024 du 20 janvier 2025 consid. 3.3.1 ; 7B_644/2024 du 14 octobre 2024 consid. 2.2.2; 7B_388/2023 du 29 septembre 2023 consid. 2.2). Il y a également lieu de rechercher si la libération conditionnelle, éventuellement assortie d'une assistance de probation ou de règles de conduite, ne favoriserait pas mieux la resocialisation de l'auteur que l'exécution complète de la peine (ATF 124 IV 193 consid. 4d/aa et 4d/bb; TF 7B_932/2024 du 20 janvier 2025 consid. 3.3.1 ; 7B_644/2024 du 14 octobre 2024 consid. 2.2.2; 7B_388/2023 du 29 septembre 2023 consid. 2.2).</w:t>
      </w:r>
    </w:p>
    <w:p>
      <w:r>
        <w:rPr>
          <w:b/>
        </w:rPr>
        <w:t>E. 2.3</w:t>
      </w:r>
    </w:p>
    <w:p>
      <w:r>
        <w:t>En l’espèce, les deux premières conditions posées par l’art. 86 al. 1 CP étant remplies, reste seule à examiner la question du pronostic à poser quant au risque que le recourant commette de nouveaux crimes ou de nouveaux délits. A cet égard, la Juge d’application des peines a tenu compte, dans son appréciation globale, des éléments avancés par le recourant. En ce qui concerne son amendement et sa prise de conscience, elle a considéré qu’ils n’étaient pas aboutis. Dans son recours, D.________ invoque qu’il n’aurait pas su les exprimer lors de l’audience. A cet égard, il faut admettre que de manière générale, des déclarations orales faites devant un juge ont plus de poids que le contenu d’un recours dicté par un intérêt à obtenir gain de cause. Lors de son audition, le recourant a d’ailleurs très clairement persisté à contester les faits pour lesquels il avait été condamné, notamment le fait d’avoir frappé sa fille malgré l’existence d’une vidéo qui l’établit, et indiqué ne pas voir l’utilité d’un suivi psychothérapeutique axé sur la violence. Dans ces circonstances, les regrets exposés dans le recours et les attestations des proches produites, ne suffisent pas à renverser les éléments négatifs relevés à juste titre dans la décision. C’est à raison que l’autorité précédente a considéré que le pronostic était « résolument défavorable ». Compte tenu de ces éléments et de son état de récidive multiple, il y a lieu de retenir que seule l’exécution complète de la peine est de nature à prévenir au mieux la réitération et à garantir la sécurité publique. On relèvera encore que le fait</w:t>
      </w:r>
    </w:p>
    <w:p>
      <w:r>
        <w:t>- 10 - de vouloir être présent au mariage de personnes proches n’est pas pertinent. Sans préjuger du sort d’une éventuelle demande, rien n’empêche le recourant de requérir une autorisation de sortie auprès de l’OEP.</w:t>
      </w:r>
    </w:p>
    <w:p>
      <w:r>
        <w:rPr>
          <w:b/>
        </w:rPr>
        <w:t>E. 3.1</w:t>
      </w:r>
    </w:p>
    <w:p>
      <w:r>
        <w:t>En définitive, le recours, manifestement mal fondé, doit être rejeté sans échange d’écritures (art. 390 al. 2 CPP) et l’ordonnance entreprise confirmée.</w:t>
      </w:r>
    </w:p>
    <w:p>
      <w:r>
        <w:rPr>
          <w:b/>
        </w:rPr>
        <w:t>E. 3.2</w:t>
      </w:r>
    </w:p>
    <w:p>
      <w:r>
        <w:t>Vu le sort du recours, les frais de la procédure, constitués en l’espèce du seul émolument d'arrêt, par 990 fr. (art. 20 al. 1 TFIP), seront mis à la charge du recourant, qui succombe (art. 428 al. 1 CPP). Par ces motifs, la Chambre des recours pénale prononce : I. Le recours est rejeté. II. L’ordonnance du 13 août 2025 est confirmée. III. Les frais d’arrêt, par 990 fr. (neuf cent nonante francs), sont mis à la charge de D.________. IV. L’arrêt est exécutoire. Le président : La greffière : Du Le présent arrêt, dont la rédaction a été approuvée à huis clos, est notifié, par l'envoi d'une copie complète, à : - D.________, - Ministère public central,</w:t>
      </w:r>
    </w:p>
    <w:p>
      <w:r>
        <w:t>- 11 - et communiqué à : - Mme la Juge d’application des peines, - M. le Procureure de l’arrondissement de Lausanne, - Office d’exécution des peines (réf. : OEP/SMO/166075/BD/MTI), - Fondation vaudoise de probation,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