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AP25.014027 vom 7. August 2025</w:t>
      </w:r>
    </w:p>
    <w:p>
      <w:r>
        <w:t>VD Tribunal cantonal, 2025-08-07, FR</w:t>
      </w:r>
    </w:p>
    <w:p>
      <w:r>
        <w:rPr>
          <w:b/>
        </w:rPr>
        <w:t xml:space="preserve">Quelle: </w:t>
      </w:r>
      <w:r>
        <w:t>https://mcp.opencaselaw.ch/entscheid/vd_gerichte_AP25.014027</w:t>
      </w:r>
    </w:p>
    <w:p>
      <w:r>
        <w:t>FR: VD_GERICHTE AP25.014027 du 7 août 2025</w:t>
      </w:r>
    </w:p>
    <w:p>
      <w:r>
        <w:t>IT: VD_GERICHTE AP25.014027 del 7 agosto 2025</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un condamné qui a qualité pour recourir (art. 382 al. 1 CPP), contre une décision rendue par l’Office d’exécution des peines et selon les formes prescrites (art. 385 al. 1 CPP), le recours est recevable. Il en va de même des pièces produites à l’appui de celui-ci (cf. CREP 23 juin 2025/460 consid. 1.2).</w:t>
      </w:r>
    </w:p>
    <w:p>
      <w:r>
        <w:rPr>
          <w:b/>
        </w:rPr>
        <w:t>E. 2</w:t>
      </w:r>
    </w:p>
    <w:p>
      <w:r>
        <w:t>L’OEP a produit le dossier du recourant, lequel contient notamment le préavis de libération conditionnelle émis par la Fondation vaudoise de probation le 2 mars 2021 dans le cadre de l’exécution de la</w:t>
      </w:r>
    </w:p>
    <w:p>
      <w:r>
        <w:t>- 4 - précédente peine privative de liberté exécutée par l’intéressé sous le régime de la surveillance électronique, ainsi que l’ordonnance rendue par le Juge d’application des peines le 13 avril 2021 qui l’a libéré conditionnellement à compter du 29 avril 2021. Ces documents paraissent correspondre à ceux attendus par le recourant dans le cadre de sa réquisition de production de pièces. Partant, celle-ci est désormais sans objet.</w:t>
      </w:r>
    </w:p>
    <w:p>
      <w:r>
        <w:rPr>
          <w:b/>
        </w:rPr>
        <w:t>E. 3</w:t>
      </w:r>
    </w:p>
    <w:p>
      <w:r>
        <w:t>Le recourant fait en substance valoir qu’il a déjà démontré être en mesure de respecter les conditions cadre d’une surveillance électronique lors de l’exécution d’une précédente peine. Les autres exigences en lien avec ce régime d’exécution seraient en outre réalisées. S’agissant plus particulièrement du risque de récidive, le pronostic quant à son comportement futur serait favorable. À cet égard, il fait notamment valoir que, lors du jugement du 19 novembre 2024, il aurait démontré avoir pris conscience de la gravité de ses actes et fait amende honorable en admettant les faits, en dédommageant ses victimes et en débutant une thérapie auprès d’un psychiatre. Ces éléments auraient d’ailleurs conduit le tribunal à prononcer une peine compatible avec une exécution sous le régime de la surveillance électronique. Il fait en outre valoir qu’il a actuellement la garde exclusive sur ses trois enfants, pour lesquels il s’investirait énormément. Deux d’entre eux rencontreraient d’ailleurs des difficultés scolaires nécessitant un suivi particulièrement intensif. Le recourant s’occuperait par ailleurs personnellement de ses deux parents âgés et fortement atteints dans leur santé. Enfin, il expose que la nouvelle procédure ouverte contre lui ne saurait faire obstacle au régime de la surveillance électronique, sauf à violer la présomption d’innocence.</w:t>
      </w:r>
    </w:p>
    <w:p>
      <w:r>
        <w:rPr>
          <w:b/>
        </w:rPr>
        <w:t>E. 4.1.1</w:t>
      </w:r>
    </w:p>
    <w:p>
      <w:r>
        <w:t>L’art. 79b al. 1 CP (Code pénal suisse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w:t>
      </w:r>
    </w:p>
    <w:p>
      <w:r>
        <w:t>- 5 - la place du travail externe ou du travail et logement externes, pour une durée de trois à douze mois (let. b). Pour le calcul de la durée maximale de 12 mois pour l'exécution d'une peine privative de liberté sous la forme de la surveillance électronique (art. 79b al. 1 let. a CP), est déterminante la partie de la peine privative de liberté avec sursis partiel à exécuter (ATF 150 IV 277 consid. 2).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4.1.2</w:t>
      </w:r>
    </w:p>
    <w:p>
      <w:r>
        <w:t>En droit cantonal, les conditions de ce mode d’exécution font l’objet du RESE (règlement concordataire sur l'exécution des peines privatives de liberté sous surveillance électronique du 20 décembre 2017 ; BLV 340.05.5), qui précise les conditions découlant du droit fédéral. Selon l’art. 4 al. 1 RESE, les conditions suivantes doivent être remplies pour bénéficier de la surveillance électronique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 g. des garanties quant au respect des conditions- cadre de l'exécution ; h. un logement fixe approprié. Il peut s'agir également d'un foyer ou d'une autre forme d'habitation institutionnalisée</w:t>
      </w:r>
    </w:p>
    <w:p>
      <w:r>
        <w:t>- 6 -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 k. l'acceptation par la personne condamnée du plan d'exécution et de l'horaire hebdomadaire et son accord pour que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w:t>
      </w:r>
    </w:p>
    <w:p>
      <w:r>
        <w:rPr>
          <w:b/>
        </w:rPr>
        <w:t>E. 4.1.3</w:t>
      </w:r>
    </w:p>
    <w:p>
      <w:r>
        <w:t>Selon le Tribunal fédéral, le risque de fuite ou de récidive visé par l'art. 79b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citées). L'autorité judiciaire de recours compétente en matière d'exécution des peines dispose d'un large pouvoir d'appréciation (TF 7B_74/2025 du 27 mai 2025 consid. 2.1.2 ; TF 7B_63/2024 du 8 mai 2024 consid. 2.3.2).</w:t>
      </w:r>
    </w:p>
    <w:p>
      <w:r>
        <w:rPr>
          <w:b/>
        </w:rPr>
        <w:t>E. 4.2</w:t>
      </w:r>
    </w:p>
    <w:p>
      <w:r>
        <w:t>En l’espèce, les faits pour lesquels le recourant a été condamné par jugement du 19 novembre 2024 sont graves. Il s’en est notamment pris de manière totalement gratuite à l’intégrité physique d’autrui, n’hésitant pas à exhiber un couteau et à frapper ses victimes</w:t>
      </w:r>
    </w:p>
    <w:p>
      <w:r>
        <w:t>- 7 - avec le manche où même la lame de celui-ci. Auparavant, le recourant avait par ailleurs déjà été condamné à pas moins de quatre reprises pour des atteintes à l’intégrité physique notamment (agressions, lésions corporelles, voies de fait). Le recourant est donc un multirécidiviste coutumier des actes de violence. Aucune des sanctions prononcées jusqu’alors n’a manifestement suffi à le dissuader de récidiver. On ne peut, en particulier, que constater que l’exécution d’une précédente peine privative de liberté de 100 jours sous le régime de la surveillance électronique, si elle s’est effectivement bien déroulée, n’a en revanche pas eu l’effet dissuasif escompté. Il est vrai que, lors des débats du dernier jugement, le recourant à reconnu l’intégralité des faits qui lui étaient reprochés. Il a par ailleurs produit des conventions qu’il avait passées, et honorées, en vue de dédommager ses victimes. Il a en outre présenté à celle présente aux débats des excuses qui semblent avoir été considérées comme sincères par le tribunal. Il ressort enfin des pièces produites que le recourant dispose d’un emploi, assume des charges familiales, notamment la garde de ses trois enfants, et qu’il a par ailleurs entrepris un suivi médical auprès d’un psychiatre, comme le recommandait le tribunal, depuis le 10 janvier 2025. Ces éléments ne suffisent toutefois pas à rassurer. Il ressort en effet tant du préavis établi par la Fondation vaudoise de probation le 2 mars 2021 que de la décision de libération conditionnelle rendue par le Juge d’application des peines le 13 avril 2021 que le recourant avait alors déjà intégralement reconnu ses torts et fait amende honorable. Il était en outre déjà apparu sincère lorsqu’il avait exprimé son intention de ne plus commettre d’infraction, en mettant notamment en avant ses responsabilités parentales envers ses trois enfants dont il assumait alors aussi la garde. Or, sa dernière condamnation démontre que le recourant a malgré tout à nouveau récidivé, qui plus est durant le délai d’épreuve qui lui avait été imparti par le Juge d’application des peines. A côté de ces éléments, la charge familiale, professionnelle, ou encore administrative, ne justifie pas une autre appréciation.</w:t>
      </w:r>
    </w:p>
    <w:p>
      <w:r>
        <w:t>- 8 - Il ressort enfin du dossier qu’une nouvelle enquête pénale est pendante contre le recourant. Si ce dernier bénéficie naturellement de la présomption d’innocence à ce stade, force est tout de même constater que, le 4 décembre 2024, soit moins d’un mois après sa dernière condamnation, la police a dû intervenir à son domicile. Cette intervention faisait suite à l’appel de l’un de ses fils qui avait indiqué que son père était en train de frapper son épouse. Le recourant a alors été expulsé du logement et n’a pas donné suite à la convocation du Centre de prévention de l’Ale pour un entretien fixé au 15 janvier 2025. Au vu de ce qui précède, il est évident que le recourant présente un risque de récidive majeur pour des actes de violences, lequel constitue un obstacle à l’octroi du régime de la surveillance électronique. La décision entreprise est donc bien fondée.</w:t>
      </w:r>
    </w:p>
    <w:p>
      <w:r>
        <w:rPr>
          <w:b/>
        </w:rPr>
        <w:t>E. 5</w:t>
      </w:r>
    </w:p>
    <w:p>
      <w:r>
        <w:t>Il résulte de ce qui précède que le recours, manifestement mal fondé, doit être rejeté, sans échange d’écritures (art. 390 al. 2 CPP), et la décision entreprise confirmée. Les frais de la procédure de recours,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19 juin 2025 est confirmée. III. Les frais d’arrêt, par 880 fr. (huit cent huitante francs), sont mis à la charge de T.________.</w:t>
      </w:r>
    </w:p>
    <w:p>
      <w:r>
        <w:t>- 9 - IV. L’arrêt est exécutoire. Le président : Le greffier : Du Le présent arrêt, dont la rédaction a été approuvée à huis clos, est notifié, par l'envoi d'une copie complète, à : - Me Olivier Boschetti, avocat (pour T.________), - Ministère public central, et communiqué à : - Office d’exécution des peines (réf. OEP/SMO/79004/BD/NJ),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