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AP25.005312 vom 7. Juli 2025</w:t>
      </w:r>
    </w:p>
    <w:p>
      <w:r>
        <w:t>VD Tribunal cantonal, 2025-07-07, FR</w:t>
      </w:r>
    </w:p>
    <w:p>
      <w:r>
        <w:rPr>
          <w:b/>
        </w:rPr>
        <w:t xml:space="preserve">Quelle: </w:t>
      </w:r>
      <w:r>
        <w:t>https://mcp.opencaselaw.ch/entscheid/vd_gerichte_AP25.005312</w:t>
      </w:r>
    </w:p>
    <w:p>
      <w:r>
        <w:t>FR: VD_GERICHTE AP25.005312 du 7 juillet 2025</w:t>
      </w:r>
    </w:p>
    <w:p>
      <w:r>
        <w:t>IT: VD_GERICHTE AP25.005312 del 7 luglio 2025</w:t>
      </w:r>
    </w:p>
    <w:p>
      <w:pPr>
        <w:pStyle w:val="Heading2"/>
      </w:pPr>
      <w:r>
        <w:t>Erwägungen</w:t>
      </w:r>
    </w:p>
    <w:p>
      <w:r>
        <w:rPr>
          <w:b/>
        </w:rPr>
        <w:t>E. 1.1</w:t>
      </w:r>
    </w:p>
    <w:p>
      <w:r>
        <w:t>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t>- 6 -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7B_587/2023 du 11 septembre 2024 consid. 2.2.1 et les réf.).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pas se borner à alléguer des faits, mais doit mettre en exergue les failles qu’il croit déceler dans le raisonnement de l’autorité inférieure, le renvoi à d’autres écritures n’étant pas suffisant (TF 7B_587/2023 précité ; CREP 22 mars 2025/206 consid. 2.1).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ne permet toutefois pas de remédier à un défaut de motivation dans le mémoire en question (TF 7B_587/2023 précité ; TF 7B_51/2024 du 25 avril 2024 consid. 2.2.2 ; TF 6B_1447/2022 du 14 mars 2023 consid. 1.1). Les allégués contenus dans le mémoire de recours adressé à l'autorité, en particulier les moyens de droit, doivent en principe satisfaire aux exigences de motivation. Cela doit notamment permettre de comprendre</w:t>
      </w:r>
    </w:p>
    <w:p>
      <w:r>
        <w:t>- 7 - pour quelles raisons le recourant s'en prend à la décision attaquée et dans quelle mesure celle-ci doit être modifiée ou annulée. Dès lors, si la validité d'un moyen de droit présuppose, en vertu d'une règle légale expresse, une motivation – même minimale –, le fait d'exiger une motivation ne viole ni le droit d'être entendu ni l'interdiction du formalisme excessif (ATF 134 II 244 consid. 2.4.2 ; TF 7B_587/2023 précité consid. 2.2.2 ; TF 7B_355/2023 du 30 juillet 2024 consid. 2.2.2 et les arrêts cités).</w:t>
      </w:r>
    </w:p>
    <w:p>
      <w:r>
        <w:rPr>
          <w:b/>
        </w:rPr>
        <w:t>E. 1.2</w:t>
      </w:r>
    </w:p>
    <w:p>
      <w:r>
        <w:t>En l’espèce, le recourant indique uniquement « faire recours contre la décision prise à [s]on encontre » sans autres critiques. Il n’explique donc pas en quoi la motivation du Collège des JAP serait erronée ni les motifs qui commanderaient de prendre une autre décision. Il produit certes une attestation, rédigée le 30 juillet 2018 par la société [...], selon laquelle il sera employé en tant que « manager » dès sa sortie de prison, mais il n’expose pas en quoi ce seul document suffirait pour retenir qu’il n’existe aucune crainte qu’il commette de nouveaux crimes ou de nouveaux délits. En outre, il n’y a pas lieu de renvoyer son « mémoire » au recourant pour qu’il le complète, dès lors que l’art. 385 al. 2 CPP vise uniquement à protéger le justiciable contre un formalisme excessif de la part de l'autorité, que la motivation d'un acte de recours doit être entièrement contenue dans l'acte de recours lui-même et que celle-ci ne saurait être complétée ou corrigée ultérieurement. Ne satisfaisant pas aux réquisits de l’art. 385 al. 1 CPP, le recours doit être déclaré irrecevable.</w:t>
      </w:r>
    </w:p>
    <w:p>
      <w:r>
        <w:rPr>
          <w:b/>
        </w:rPr>
        <w:t>E. 2.1</w:t>
      </w:r>
    </w:p>
    <w:p>
      <w:r>
        <w:t>De toute manière, même à le supposer recevable, le recours aurait été rejeté pour les motifs suivants.</w:t>
      </w:r>
    </w:p>
    <w:p>
      <w:r>
        <w:rPr>
          <w:b/>
        </w:rPr>
        <w:t>E. 2.2</w:t>
      </w:r>
    </w:p>
    <w:p>
      <w:r>
        <w:t>; CREP 17 août 2022/611 consid. 2.2).</w:t>
      </w:r>
    </w:p>
    <w:p>
      <w:r>
        <w:rPr>
          <w:b/>
        </w:rPr>
        <w:t>E. 2.3</w:t>
      </w:r>
    </w:p>
    <w:p>
      <w:r>
        <w:t>En l’espèce, en tant qu’il transmet une attestation selon laquelle il aurait la garantie d’un emploi en [...] dès sa sortie de prison, on suppose que le recourant s’en prend au pronostic très défavorable retenu par les premiers juges, plus précisément concernant le risque de récidive. Or, il est évident que cette attestation, qui est datée de 2018 et qui est donc obsolète, est insuffisante pour renverser l’appréciation opérée par les premiers juges. Tous les motifs exposés par ceux-ci sont en outre pertinents et peuvent être repris par adoption de motifs (art. 82 al. 4 CPP ; cf. pp. 9-10 de l’ordonnance attaquée). Sous l’angle du pronostic différentiel, on peut ajouter que le recourant pourra mettre à profit la suite de son incarcération pour poursuivre ses cours d’anglais, débutés le 30 octobre 2024 (P. 3/19, p. 2), afin d’augmenter ses chances de réinsertion dans son pays d’origine. Il aura aussi tout loisir de démontrer qu’il peut gérer la frustration en</w:t>
      </w:r>
    </w:p>
    <w:p>
      <w:r>
        <w:t>- 10 - adoptant un comportement irréprochable en détention et qu’il a pris conscience de ses actes odieux envers ses victimes en continuant le versement des indemnités qu’il a commencé le 31 juillet 2024 et qui ne s’élève qu’à 180 fr. (P. 3/2, pp. 18-19 ; P. 3/19, p. 3). En l’état, l’agressivité dont le recourant n’a eu cesse de faire preuve depuis 2022, et encore très récemment, ne laisse pas présumer un bon comportement en liberté, d’autant que le Tribunal criminel a relevé que le prévenu était ancré dans la délinquance au point qu’il paraissait n’avoir connu que de brèves périodes de liberté durant lesquelles il s’était empressé de commettre de nouvelles infractions (P. 3/1, p. 31). En outre, en l’absence de toute attestation de logement et de tout projet professionnel actuel et concret, le risque que le recourant mette à profit sa liberté pour commettre à nouveau des actes pénalement répréhensibles, ne serait-ce que pour subvenir à ses besoins vitaux, est patent. C’est le lieu de rappeler que le recourant a menacé ses victimes de les tuer et que ce n’est pas seulement la sécurité publique suisse qu’il s’agit de protéger, mais également celle de la [...], pays dans lequel il est prévu que le condamné soit renvoyé avec la collaboration du SPOP (P. 3/21). Dans ces conditions, c’est à bon droit que le Collège des JAP a refusé d’accorder la libération conditionnelle à X.________.</w:t>
      </w:r>
    </w:p>
    <w:p>
      <w:r>
        <w:rPr>
          <w:b/>
        </w:rPr>
        <w:t>E. 3</w:t>
      </w:r>
    </w:p>
    <w:p>
      <w:r>
        <w:t>Il résulte de ce qui précède que le recours, manifestement mal fondé, doit être rejeté sans échange d'écritures (art. 390 al. 2 CPP) et l’ordonnance entreprise confirmée. Les frais de la procédure de recours, par 1'100 fr. (art. 20 al. 1 TFIP [tarif des frais de procédure et indemnités en matière pénale du 28 septembre 2010 ; BLV 312.03.1]), seront mis à la charge du recourant, qui succombe (art. 428 al. 1 CPP).</w:t>
      </w:r>
    </w:p>
    <w:p>
      <w:r>
        <w:t>- 11 - Par ces motifs, la Chambre des recours pénale prononce : I. Le recours est irrecevable. II. Les frais d’arrêt, par 1'100 fr. (mille cent francs), sont mis à la charge de X.________. III. L’arrêt est exécutoire. La Vice-présidente : La greffière : Du Le présent arrêt, dont la rédaction a été approuvée à huis clos, est notifié, par l'envoi d'une copie complète, à : - M. X.________, - Ministère public central,</w:t>
      </w:r>
    </w:p>
    <w:p>
      <w:r>
        <w:t>- 12 - et communiqué à : - Collège des Juges d’application des peines, - M. le Procureur de l’arrondissement de l’Est vaudois, - Office d’exécution des peines (OEP/PPL/157521/VRI/SMS), - Direction des EPO, - Service de la population, Secteur départs et mesures,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