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AP25.003062 vom 2. April 2025</w:t>
      </w:r>
    </w:p>
    <w:p>
      <w:r>
        <w:t>VD Tribunal cantonal, 2025-04-02, FR</w:t>
      </w:r>
    </w:p>
    <w:p>
      <w:r>
        <w:rPr>
          <w:b/>
        </w:rPr>
        <w:t xml:space="preserve">Quelle: </w:t>
      </w:r>
      <w:r>
        <w:t>https://mcp.opencaselaw.ch/entscheid/vd_gerichte_AP25.003062</w:t>
      </w:r>
    </w:p>
    <w:p>
      <w:r>
        <w:t>FR: VD_GERICHTE AP25.003062 du 2 avril 2025</w:t>
      </w:r>
    </w:p>
    <w:p>
      <w:r>
        <w:t>IT: VD_GERICHTE AP25.003062 del 2 aprile 2025</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rPr>
          <w:b/>
        </w:rPr>
        <w:t>E. 1.3</w:t>
      </w:r>
    </w:p>
    <w:p>
      <w:r>
        <w:t>En l’espèce, le recours a été interjeté en temps utile auprès de l'autorité compétente par le condamné qui a qualité pour recourir (cf. art. 382 al. 1 CPP). Dans son acte, le recourant s’en prend à la manière dont ses propos ont été retranscrits en page 4 de l’ordonnance attaquée, qui le</w:t>
      </w:r>
    </w:p>
    <w:p>
      <w:r>
        <w:t>- 5 - ferait paraître à son désavantage en relation avec les processus d’introspection et d’amendement. Il fait valoir qu’il ne posséderait qu’une maîtrise « triviale » de la langue française, qui ne lui permettrait pas d’exprimer des sentiments aussi sophistiqués que l’amendement, le regret ou l’introspection, ce qu’il aurait entrepris de faire dans son recours, par écrit, avec l’aide d’un détenu bilingue. Dans cette écriture, il s’attache à développer les motifs qui auraient dû conduire le Juge d’application des peines à retenir que le pronostic relatif à son comportement après sa sortie de prison n’était pas défavorable. Cette manière de procéder satisfait aux exigences de forme prescrites par l’art. 385 al. 1 CPP, de sorte que le recours est recevable.</w:t>
      </w:r>
    </w:p>
    <w:p>
      <w:r>
        <w:rPr>
          <w:b/>
        </w:rPr>
        <w:t>E. 2</w:t>
      </w:r>
    </w:p>
    <w:p>
      <w:r>
        <w:t>Aux termes de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7B_1294/2024 du 23 janvier 2025 consid. 3.2 ; TF 7B_932/2024 du 20 janvier 2025 consid. 3.1.1).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7B_1294/2024 précité ; TF 7B_932/2024 précité). Par sa nature même, le pronostic ne saurait être tout à fait sûr ; force est de se contenter d'une certaine probabilité, un risque de récidive étant inhérent à toute libération, conditionnelle ou définitive (ATF 119 IV 5</w:t>
      </w:r>
    </w:p>
    <w:p>
      <w:r>
        <w:t>- 6 - consid. 1b ; TF 7B_1294/2024 précité).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précité consid. 3.2 ; ATF 124 IV 97 consid. 2c ; TF 7B_1294/2024 précité). Le Tribunal fédéral exige de procéder à un pronostic différentiel. Pour ce faire, il sied de comparer les avantages et désavantages de l'exécution de la peine avec la libération conditionnelle et de déterminer, notamment, si le degré de dangerosité que représente le détenu diminuera, restera le même ou augmentera en cas d'exécution complète de la peine (ATF 124 IV 193 consid. 4d et 5b/bb ; TF 7B_1294/2024 précité ; TF 7B_932/2024 précité).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4d/aa/bb ; 7B_1294/2024 précité ; TF 7B_932/2024 précité).</w:t>
      </w:r>
    </w:p>
    <w:p>
      <w:r>
        <w:rPr>
          <w:b/>
        </w:rPr>
        <w:t>E. 3.1</w:t>
      </w:r>
    </w:p>
    <w:p>
      <w:r>
        <w:t>Le recourant affirme que le décès de sa mère, survenu en 2024, lui aurait servi d’électrochoc, qu’il lui aurait donné l’occasion de faire un bilan salutaire sur sa vie et sur les comportements répréhensibles et regrettables qu’il a adoptés, à l’issue duquel il aurait pris la ferme décision de rentrer s’établir en Tunisie à court terme, pour entreprendre « un projet » avec des membres de sa famille. Il fait valoir que son incarcération lui aurait permis de rompre les ponts avec les personnes toxiques de son entourage et de préparer un projet d’élevage en Tunisie.</w:t>
      </w:r>
    </w:p>
    <w:p>
      <w:r>
        <w:t>- 7 - La libération conditionnelle, avec la menace d’un retour en prison, agirait à la manière d’une « épée de Damoclès » et lui donnerait le « coup de pouce » pour le motiver vivement à régler ses affaires.</w:t>
      </w:r>
    </w:p>
    <w:p>
      <w:r>
        <w:rPr>
          <w:b/>
        </w:rPr>
        <w:t>E. 3.2</w:t>
      </w:r>
    </w:p>
    <w:p>
      <w:r>
        <w:t>En l’espèce, le recourant aura atteint les deux tiers de ses peines le 16 avril 2025. Avec le Juge d’application des peines, on peut admettre que l’attitude globalement bonne qu’il a adoptée en détention ne s’oppose pas à ce qu’il soit mis au bénéfice de la libération conditionnelle, de sorte que les deux premières conditions de l’art. 86 al. 1 CP sont réunies. Il reste encore à examiner si, comme le plaide le recourant, il n’y a pas lieu de craindre qu’il commette de nouveaux crimes ou de nouveaux délits. A cet égard, le recourant se contente de vaines paroles. Si on ne doute pas que le décès de sa mère l’ait affecté, on peine cependant à croire qu’il ait pu l’amener à entamer une introspection sincère – à tout le moins le recourant ne livre-t-il pas les conclusions qu’il aurait tirées à l’issue d’un semblable processus intellectuel. Il n’est pas non plus en capacité de dire précisément en quoi consisteraient les projets qu’il affiche pour sa sortie de détention, ni de démontrer qu’il aurait entrepris quoi que ce soit de concret en vue de les réaliser, si bien qu’il faut admettre que ceux-ci demeurent en l’état une pure vue de l’esprit ; au demeurant, le projet consistant à retourner en Tunisie apparaît d’autant moins sérieux que, selon le secteur social des Etablissements de la plaine de l’Orbe (ci- après : EPO), l’idée serait plutôt qu’il intègre un atelier protégé à sa libération, de manière à structurer son temps et à mettre de la distance avec ses habitudes passées, mais que « rien n’a[vait] été concrétisé pour l’heure ». Dans ces conditions, les propos avancés par le recourant sont impropres à renverser le pronostic très sombre qui se dégage des nombreuses récidives qui jalonnent de manière quasi compulsive les treize dernières années de son existence. Aussi, le premier juge doit-il être suivi quand il constate que la récidive est programmée. Quand bien même il est douteux que ce pronostic s’améliore de manière significative d’ici au terme de l’exécution de la peine, la priorité doit être accordée à l’intérêt de la sécurité publique, vu la probabilité importante que le recourant se</w:t>
      </w:r>
    </w:p>
    <w:p>
      <w:r>
        <w:t>- 8 - laisse aller à commettre de nouvelles infractions. Enfin, on ne peut croire le recourant sur parole quand il affirme que la menace de la révocation de la libération conditionnelle serait susceptible de le dissuader de récidiver, les peines inscrites à son casier judiciaire démontrant au contraire que les sanctions infligées et la perspective d’avoir à en subir d’autres n’ont eu aucun effet sur lui. Avec le premier juge, il faut espérer que le recourant mettra à profit le temps qui le sépare de la fin de sa peine pour aborder sa libération dans les meilleures conditions possibles, via la mise en place de projets constructifs. C’est donc à bon droit que le Juge d’application des peines a considéré que l’une des conditions d’octroi de l’art. 86 al. 1 CP n’était pas réalisée et, partant, qu’il a refusé de lui accorder la libération conditionnelle.</w:t>
      </w:r>
    </w:p>
    <w:p>
      <w:r>
        <w:rPr>
          <w:b/>
        </w:rPr>
        <w:t>E. 4</w:t>
      </w:r>
    </w:p>
    <w:p>
      <w:r>
        <w:t>En définitive, le recours, manifestement mal fondé, doit être rejeté sans échange d’écritures (art. 390 al. 2 CPP) et l’ordonnance entreprise confirmée. Vu le sort du recours, les frais de la procédure,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mars 2025 est confirmée.</w:t>
      </w:r>
    </w:p>
    <w:p>
      <w:r>
        <w:t>- 9 - III. Les frais d’arrêt, par 880 fr. (huit cent huitante francs), sont mis à la charge de H.________. IV. L’arrêt est exécutoire. Le président : La greffière : Du Le présent arrêt, dont la rédaction a été approuvée à huis clos, est notifié, par l'envoi d'une copie complète, à : - M. H.________, - Ministère public central, et communiqué à : - M. le Juge d’application des peines, - Mme la Procureure de l’arrondissement de l’Est vaudois, - Office d’exécution des peines (réf. : OEP/PPL/80843/VRI/TMZ), - Direction des EPO, - Mme [...], curatrice,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