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AP25.001002 vom 11. März 2025</w:t>
      </w:r>
    </w:p>
    <w:p>
      <w:r>
        <w:t>VD Tribunal cantonal, 2025-03-11, FR</w:t>
      </w:r>
    </w:p>
    <w:p>
      <w:r>
        <w:rPr>
          <w:b/>
        </w:rPr>
        <w:t xml:space="preserve">Quelle: </w:t>
      </w:r>
      <w:r>
        <w:t>https://mcp.opencaselaw.ch/entscheid/vd_gerichte_AP25.001002</w:t>
      </w:r>
    </w:p>
    <w:p>
      <w:r>
        <w:t>FR: VD_GERICHTE AP25.001002 du 11 mars 2025</w:t>
      </w:r>
    </w:p>
    <w:p>
      <w:r>
        <w:t>IT: VD_GERICHTE AP25.001002 del 11 marzo 2025</w:t>
      </w:r>
    </w:p>
    <w:p>
      <w:pPr>
        <w:pStyle w:val="Heading2"/>
      </w:pPr>
      <w:r>
        <w:t>Erwägungen</w:t>
      </w:r>
    </w:p>
    <w:p>
      <w:r>
        <w:rPr>
          <w:b/>
        </w:rPr>
        <w:t>E. 1</w:t>
      </w:r>
    </w:p>
    <w:p>
      <w:r>
        <w:t>- 4 -</w:t>
      </w:r>
    </w:p>
    <w:p>
      <w:r>
        <w:rPr>
          <w:b/>
        </w:rPr>
        <w:t>E. 1.1</w:t>
      </w:r>
    </w:p>
    <w:p>
      <w:r>
        <w:t>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w:t>
      </w:r>
    </w:p>
    <w:p>
      <w:r>
        <w:rPr>
          <w:b/>
        </w:rPr>
        <w:t>E. 1.3</w:t>
      </w:r>
    </w:p>
    <w:p>
      <w:r>
        <w:t>En l’espèce, le recours a été déposé en temps utile par un ancien détenu qui a qualité pour recourir (art. 382 al. 1 CPP). On peut cependant se demander s’il satisfait aux exigences de motivation de l'art. 385 al. 1 CPP, dès lors que le recourant ne critique pas la motivation de la première juge autrement qu’en disant avoir été empêché d’agir par le fait qu’il était détenu et n’indique en particulier pas sur quel grief il se fonde. Cette question peut toutefois rester indécise, dès lors que, même à supposer recevable, le recours devrait être rejeté pour les motifs exposés ci-après.</w:t>
      </w:r>
    </w:p>
    <w:p>
      <w:r>
        <w:rPr>
          <w:b/>
        </w:rPr>
        <w:t>E. 2</w:t>
      </w:r>
    </w:p>
    <w:p>
      <w:r>
        <w:t>- 5 -</w:t>
      </w:r>
    </w:p>
    <w:p>
      <w:r>
        <w:rPr>
          <w:b/>
        </w:rPr>
        <w:t>E. 2.1</w:t>
      </w:r>
    </w:p>
    <w:p>
      <w:r>
        <w:t>Dans sa demande au Juge d’application des peines, le recourant ne semble pas se plaindre de conditions illicites de détention mais d’une détention illicite, à savoir d’avoir été incarcéré deux mois sans décision judiciaire qui l’ordonnerait.</w:t>
      </w:r>
    </w:p>
    <w:p>
      <w:r>
        <w:rPr>
          <w:b/>
        </w:rPr>
        <w:t>E. 2.2</w:t>
      </w:r>
    </w:p>
    <w:p>
      <w:r>
        <w:t>Selon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L'art. 431 CPP prévoit certes qu'il appartient en principe à l'autorité pénale d'allouer, sur la base de cette disposition, une juste indemnité en réparation du tort moral au prévenu qui a fait l'objet de mesures de contrainte illicites avant son jugement. Cette règle vise à éviter que les prévenus ne doivent obligatoirement engager des procédures en responsabilité contre l'Etat aux conditions fixées par le droit cantonal en marge des procédures pénales qui les concernent (ATF 148 I 145 consid. 3.2 ; TF 6B_1015/2020 précité consid. 2.4.1 ; TF 6B_1071/2015 du 18 juillet 2016 consid. 4.2). Ce régime d'indemnisation particulier de droit fédéral n'a toutefois plus lieu d'être une fois que la procédure pénale est achevée. La question de l'indemnisation d'une éventuelle mesure de contrainte illicite avant jugement ne relève alors plus que du droit cantonal ordinaire en matière de responsabilité de l'Etat (ATF 148 I 145 consid. 3.2 ; TF 6B_1015/2020 précité consid. 2.4.1 et 2.4.2 ; TF 6B_1071/2015 précité consid. 4.2 ; TF 2C_443/2012 du 27 novembre 2012, laissant initialement la question ouverte). La responsabilité des collectivités publiques cantonales, des fonctionnaires et des employés publics des cantons à l'égard des particuliers pour le dommage qu'ils causent dans l'exercice de leur charge est en principe régie par les art. 41 ss du Code des obligations (CO). Les cantons sont toutefois libres de soumettre cette problématique au droit</w:t>
      </w:r>
    </w:p>
    <w:p>
      <w:r>
        <w:t>- 6 - public cantonal en vertu de l'art. 59 al. 1 du Code civil suisse (CC) et de l'art. 61 al. 1 CO (ATF 148 I 145 consid. 4.1 ; ATF 128 III 76 consid. 1a ; ATF 127 III 248 consid. 1b). Lorsque le canton adopte une réglementation, la responsabilité de la collectivité publique et de ses agents est donc soumise au droit public cantonal. Si cette réglementation renvoie à titre subsidiaire aux dispositions du CO, celui-ci s'applique à titre de droit cantonal supplétif (ATF 148 I 145 consid. 4.1 ; ATF 147 IV 55 consid. 2.6; ATF 126 III 370 consid. 5 ; cf. aussi TF 6B_1015/2020 précité consid. 2.1; 2C_493/2021 du 24 juin 2021 consid. 5.1). Le Canton de Vaud a fait usage de la faculté exposée ci-devant en édictant la LRECA. Cette loi règle la réparation des dommages causés illicitement ou en violation de devoirs de service par des agents de l'Etat dans l'exercice de la fonction publique cantonale ou communale (art. 1, 3 et 4 LRECA). Elle prévoit notamment que celui qui subit une atteinte dans ses intérêts personnels par des agents de l'Etat peut réclamer des dommages-intérêts au canton ou aux corporations communales dont ceux-ci relèvent. La personne lésée peut également demander le versement d'une indemnité à titre de réparation morale lorsqu'elle est justifiée par la gravité particulière du préjudice subi (art. 6 al. 2 LRECA). Cette créance se prescrit par un an dès la connaissance du dommage et en tout cas par dix ans dès l'acte dommageable (cf. art. 7 LRECA). Selon l'art. 8 LRECA, les dispositions du CO relatives aux obligations résultant d'actes illicites sont au surplus applicables par analogie à titre de droit cantonal.</w:t>
      </w:r>
    </w:p>
    <w:p>
      <w:r>
        <w:rPr>
          <w:b/>
        </w:rPr>
        <w:t>E. 2.3</w:t>
      </w:r>
    </w:p>
    <w:p>
      <w:r>
        <w:t>En l’espèce, on relèvera d’abord que le recourant n’a pas fait appel du jugement dirigé contre lui, rendu le 24 mars 2016 par le Tribunal correctionnel de l’arrondissement de La Broye et du Nord vaudois. Ainsi, la procédure pénale est désormais achevée. Partant, le régime d’indemnisation de droit fédéral de l’art. 431 CPP n’a plus lieu d’être. Autrement dit, si le recourant voulait que l’art. 431 CPP lui soit appliqué, il aurait dû faire appel du jugement du 24 mars 2016, ce qu’il n’a pas fait, alors qu’il était assisté d’un avocat. Il ne peut donc plus faire valoir de prétention découlant de l’art. 431 CPP, seules les prétentions découlant de</w:t>
      </w:r>
    </w:p>
    <w:p>
      <w:r>
        <w:t>- 7 - la LRECA pouvant entrer en considération. Cela étant, la Juge d’application des peines et le recourant perdent de vue que les actions fondées sur la LRECA ressortissent aux tribunaux ordinaires (art. 14 LRECA). Ce n’était donc pas au Juge d’application des peines de statuer sur une éventuelle responsabilité de l’Etat, respectivement sur la validité de l’action en responsabilité. Si la Juge d’application des peines n’est donc pas entrée en matière à juste titre, le motif invoqué n’était pas adéquat. En réalité, elle n’était pas compétente. Il en résulte que le recours doit être rejeté dans la mesure où il est recevable et la décision attaquée confirmée par substitution de motifs.</w:t>
      </w:r>
    </w:p>
    <w:p>
      <w:r>
        <w:rPr>
          <w:b/>
        </w:rPr>
        <w:t>E. 3</w:t>
      </w:r>
    </w:p>
    <w:p>
      <w:r>
        <w:t>En définitive, le recours doit être rejeté dans la mesure où il est recevable et la décision attaquée confirmée. Les frais de la procédure de recours, constitués de l'émolument d'arrêt, par 770 fr. (art. 20 al. 1 TFIP [Tarif des frais de procédure et indemnités en matière pénale du 28 septembre 2010 ; BLV 312.03.1]), seront exceptionnellement laissés à la charge de l’Etat. Par ces motifs, la Chambre des recours pénale prononce : I. Le recours est rejeté dans la mesure où il est recevable. II. La décision du 10 janvier 2025 est confirmée. III. Les frais d’arrêt, par 770 fr. (sept cent septante francs), sont laissés à la charge de l’Etat. IV. L’arrêt est exécutoire. Le président : La greffière :</w:t>
      </w:r>
    </w:p>
    <w:p>
      <w:r>
        <w:t>- 8 - Du Le présent arrêt, dont la rédaction a été approuvée à huis clos, est notifié, par l'envoi d'une copie complète, à : - M. S.________, - Ministère public central ; et communiqué à : - Mme la Juge d’application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