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AP24.022419 vom 22. Januar 2025</w:t>
      </w:r>
    </w:p>
    <w:p>
      <w:r>
        <w:t>VD Tribunal cantonal, 2025-01-22, FR</w:t>
      </w:r>
    </w:p>
    <w:p>
      <w:r>
        <w:rPr>
          <w:b/>
        </w:rPr>
        <w:t xml:space="preserve">Quelle: </w:t>
      </w:r>
      <w:r>
        <w:t>https://mcp.opencaselaw.ch/entscheid/vd_gerichte_AP24.022419</w:t>
      </w:r>
    </w:p>
    <w:p>
      <w:r>
        <w:t>FR: VD_GERICHTE AP24.022419 du 22 janvier 2025</w:t>
      </w:r>
    </w:p>
    <w:p>
      <w:r>
        <w:t>IT: VD_GERICHTE AP24.022419 del 22 gennaio 2025</w:t>
      </w:r>
    </w:p>
    <w:p>
      <w:pPr>
        <w:pStyle w:val="Heading2"/>
      </w:pPr>
      <w:r>
        <w:t>Erwägungen</w:t>
      </w:r>
    </w:p>
    <w:p>
      <w:r>
        <w:rPr>
          <w:b/>
        </w:rPr>
        <w:t>E. 4</w:t>
      </w:r>
    </w:p>
    <w:p>
      <w:r>
        <w:t>En définitive, le recours, manifestement mal fondé, doit être rejeté sans échange d’écritures (art. 390 al. 2 CPP) et l’ordonnance entreprise confirmée.</w:t>
      </w:r>
    </w:p>
    <w:p>
      <w:r>
        <w:rPr>
          <w:b/>
        </w:rPr>
        <w:t>E. 4.1</w:t>
      </w:r>
    </w:p>
    <w:p>
      <w:r>
        <w:t>L’avocat Laurent Fischer demande sa désignation en qualité de défenseur d’office pour la présente procédure de recours. Il sera donné droit à cette requête, les conditions requises (art. 18 al. 1 et 2 LPA-VD [loi sur la procédure administrative ; BLV 173.36], applicable en l’espèce en vertu de l’art. 2 al. 1 let. a LPA-VD) étant réunies puisque l’art. 38 al. 2 LEP ne renvoie qu’aux dispositions du CPP sur le recours, notamment en regard du solde de peine qu’il reste au recourant à exécuter (CREP 21 janvier 2025/34 consid. 3). On ne se trouve ainsi pas dans le cas de figure où la désignation prononcée à un stade antérieur de la présente procédure (en l’espèce le 1er novembre 2024) vaut également pour la seconde instance cantonale. Compte tenu de la nature de l’affaire et de l’acte de recours déposé, l’indemnité allouée au défenseur d’office du recourant sera fixée à 450 fr., correspondant à une activité nécessaire d’avocat de deux heures et 30 minutes au tarif horaire de 180 fr., montant auquel il convient d’ajouter des débours forfaitaires à concurrence de 2 % des honoraires admis (art. 3bis al. 1 RAJ [règlement du 7 décembre 2010 sur l'assistance judiciaire en matière civile ; BLV 211.02.3], applicable par renvoi de l’art. 18 al. 5 LPA-VD), par 9 fr., plus la TVA au taux de 8,1 %, par 37 fr. 20. L’indemnité s’élève ainsi à 497 fr. au total en chiffres arrondis.</w:t>
      </w:r>
    </w:p>
    <w:p>
      <w:r>
        <w:rPr>
          <w:b/>
        </w:rPr>
        <w:t>E. 4.2</w:t>
      </w:r>
    </w:p>
    <w:p>
      <w:r>
        <w:t>Vu le sort du recours, les frais de la procédure, constitués en l’espèce de l’émolument d'arrêt, par 1’320 fr. (art. 20 al. 1 TFIP), et des frais imputables à la défense d’office (art. 422 al. 1 et 2 let. a CPP), seront mis à la charge du recourant, qui succombe (art. 428 al. 1 CPP).</w:t>
      </w:r>
    </w:p>
    <w:p>
      <w:r>
        <w:t>- 13 - Le remboursement à l’Etat de l’indemnité allouée au défenseur d’office du recourant ne sera toutefois exigible que pour autant que la situation financière de celui-ci le permette (art. 123 al. 1 CPC par renvoi de l’art. 18 al. 5 LPA-VD). Par ces motifs, la Chambre des recours pénale prononce : I. Le recours est rejeté. II. L’ordonnance du 7 janvier 2025 est confirmée. III. Me Laurent Fischer est désigné en tant que défenseur d’office de I.________ pour la procédure de recours. IV. L’indemnité allouée à Me Laurent Fischer, défenseur d’office de I.________, est fixée à 497 fr. (quatre cent nonante-sept francs). V. Les frais d’arrêt, par 1’320 fr. (mille trois cent vingt francs), ainsi que l’indemnité due au défenseur d’office du recourant, par 497 fr. (quatre cent nonante-sept francs), sont mis à la charge de I.________. VI. Le remboursement à l’Etat de l’indemnité allouée au chiffre III ci-dessus ne sera exigible que pour autant que la situation financière de I.________ le permette. VII. L’arrêt est exécutoire. Le président : Le greffier :</w:t>
      </w:r>
    </w:p>
    <w:p>
      <w:r>
        <w:t>- 14 - Du Le présent arrêt, dont la rédaction a été approuvée à huis clos, est notifié, par l'envoi d'une copie complète, à : - Me Laurent Fischer, avocat (pour I.________), - Ministère public central, et communiqué à : - Mme la Juge d’application des peines, - M. le Procureur de l’arrondissement de Lausanne, - Office d’exécution des peines (réf. : OEP/PPL/148243/VRI/FSI), - Direction des Etablissements de la plaine de l’Orbe,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