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AP24.019278 vom 8. April 2025</w:t>
      </w:r>
    </w:p>
    <w:p>
      <w:r>
        <w:t>VD Tribunal cantonal, 2025-04-08, FR</w:t>
      </w:r>
    </w:p>
    <w:p>
      <w:r>
        <w:rPr>
          <w:b/>
        </w:rPr>
        <w:t xml:space="preserve">Quelle: </w:t>
      </w:r>
      <w:r>
        <w:t>https://mcp.opencaselaw.ch/entscheid/vd_gerichte_AP24.019278</w:t>
      </w:r>
    </w:p>
    <w:p>
      <w:r>
        <w:t>FR: VD_GERICHTE AP24.019278 du 8 avril 2025</w:t>
      </w:r>
    </w:p>
    <w:p>
      <w:r>
        <w:t>IT: VD_GERICHTE AP24.019278 del 8 aprile 2025</w:t>
      </w:r>
    </w:p>
    <w:p>
      <w:pPr>
        <w:pStyle w:val="Heading2"/>
      </w:pPr>
      <w:r>
        <w:t>Erwägungen</w:t>
      </w:r>
    </w:p>
    <w:p>
      <w:r>
        <w:rPr>
          <w:b/>
        </w:rPr>
        <w:t>E. 1.1</w:t>
      </w:r>
    </w:p>
    <w:p>
      <w:r>
        <w:t>Aux termes de l’art. 38 al. 1 LEP,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motivé et adressé par écrit, dans un délai de dix jours dès la notification de la décision attaquée (art. 384 let. b et 396 al. 1 CPP [Code de procédure pénale suisse du 5 octobre 2007 ; RS 312.0]), à l’autorité de recours qui est, dans le canton de Vaud, la Chambre des recours pénale du Tribunal cantonal (art. 13 LVCPP [loi vaudoise d’introduction du Code de procédure</w:t>
      </w:r>
    </w:p>
    <w:p>
      <w:r>
        <w:t>- 15 -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22 mars 2025/206 consid. 2.1).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w:t>
      </w:r>
    </w:p>
    <w:p>
      <w:r>
        <w:t>- 16 -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La jurisprudence fédérale précise que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w:t>
      </w:r>
    </w:p>
    <w:p>
      <w:r>
        <w:rPr>
          <w:b/>
        </w:rPr>
        <w:t>E. 2.1</w:t>
      </w:r>
    </w:p>
    <w:p>
      <w:r>
        <w:t>Les recours de B.________ des 25 et 28 mars 2025</w:t>
      </w:r>
    </w:p>
    <w:p>
      <w:r>
        <w:rPr>
          <w:b/>
        </w:rPr>
        <w:t>E. 2.1.1</w:t>
      </w:r>
    </w:p>
    <w:p>
      <w:r>
        <w:t>Dans ses recours des 25 et 28 mars 2025, B.________ expose en substance que les décisions judiciaires dont il a fait l’objet – que ce soit le jugement rendu par le Tribunal criminel, celui rendu par la Cour d’appel pénale ou la décision de la Juge d’application des peines – ne constituent qu’un « tissu de mensonges ». Il se dit victime d’injustice, accuse les différents magistrats de partialité et, de manière générale, revient sur les faits pour lesquels il a été condamné.</w:t>
      </w:r>
    </w:p>
    <w:p>
      <w:r>
        <w:rPr>
          <w:b/>
        </w:rPr>
        <w:t>E. 2.1.2</w:t>
      </w:r>
    </w:p>
    <w:p>
      <w:r>
        <w:t>Le recourant se borne à revenir sur le fond de l’affaire ayant mené à sa condamnation ou sur la manière dont l’instruction en question aurait été menée. Le contenu de ses recours est ainsi étranger à l’objet du litige puisqu’il n’aborde aucunement l’ordonnance entreprise. Partant, le</w:t>
      </w:r>
    </w:p>
    <w:p>
      <w:r>
        <w:t>- 17 - recourant échoue à démontrer, en s’appuyant sur les motifs de l’ordonnance attaquée, en quoi il se justifierait – sous l’angle des faits ou du droit – qu’une décision différente soit rendue. Les deux actes de recours en cause ne remplissent ainsi pas les exigences déduites de l’art. 385 al. 1 CPP par le Tribunal fédéral, sans que ce constat ne relève d’un formalisme excessif, ce d’autant que le recourant est assisté d’un avocat, à qui l’ordonnance querellée a été notifiée et qui a d’ailleurs déposé un recours le 3 avril 2025. Par conséquent, ils doivent être déclarés irrecevables.</w:t>
      </w:r>
    </w:p>
    <w:p>
      <w:r>
        <w:rPr>
          <w:b/>
        </w:rPr>
        <w:t>E. 2.2</w:t>
      </w:r>
    </w:p>
    <w:p>
      <w:r>
        <w:t>Le recours de B.________ du 3 avril 2025</w:t>
      </w:r>
    </w:p>
    <w:p>
      <w:r>
        <w:rPr>
          <w:b/>
        </w:rPr>
        <w:t>E. 2.2.1</w:t>
      </w:r>
    </w:p>
    <w:p>
      <w:r>
        <w:t>Ce recours a été interjeté en temps utile – l’ordonnance querellé ayant été notifiée au recourant le 24 mars 2025 –, auprès de l’autorité compétente, par le condamné à une mesure thérapeutique institutionnelle qui a la qualité pour recourir (art. 382 al. 1 CPP), et dans les formes prescrites. Il est donc recevable.</w:t>
      </w:r>
    </w:p>
    <w:p>
      <w:r>
        <w:rPr>
          <w:b/>
        </w:rPr>
        <w:t>E. 2.2.2</w:t>
      </w:r>
    </w:p>
    <w:p>
      <w:r>
        <w:t>Le recourant se prévaut du principe de proportionnalité et soutient que l’ordonnance entreprise contrevient à l’art. 62 al. 1 CP. Il fait grief à la Juge d’application des peines d’avoir considéré que seul un pronostic défavorable pouvait être posé, alors que les éléments au dossier, spécialement le PES, démontreraient une amélioration de son état de santé, en particulier quant à sa capacité à gérer les réactions induites par son trouble. Il se comporterait de façon exemplaire en prison et réagirait sans violence à réception d’informations difficiles. Le risque de récidive qu’il présente pourrait en outre être réduit par l’éventuelle et future vente de sa maison, dans la mesure où les infractions pour lesquelles il a été condamné se sont uniquement inscrites dans un contexte de conflit de voisinage. Sur le plan thérapeutique, le recourant soutient qu’il pourrait continuer à se rendre aux séances dans le cadre d’un traitement ambulatoire, qui constitue, à dire d’experts, la mesure la plus adaptée pour réduire le risque de récidive. Enfin, il argue</w:t>
      </w:r>
    </w:p>
    <w:p>
      <w:r>
        <w:t>- 18 - que ce n’est pas parce qu’il conteste les faits pour lesquels il a été condamné qu’un pronostic défavorable devrait indéfiniment être retenu, étant rappelé qu’il est détenu depuis près de 4 ans.</w:t>
      </w:r>
    </w:p>
    <w:p>
      <w:r>
        <w:rPr>
          <w:b/>
        </w:rPr>
        <w:t>E. 2.2.3.1</w:t>
      </w:r>
    </w:p>
    <w:p>
      <w:r>
        <w:t>Aux termes de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7B_1284/2024 du 13 février 2025 consid. 2.1.1 et les arrêts cités).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7B_1284/2024 précité).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w:t>
      </w:r>
    </w:p>
    <w:p>
      <w:r>
        <w:t>- 19 - durée de la privation de liberté déjà subie par l'auteur (ATF 137 IV 201 précité ; TF 7B_1284/2024 précité).</w:t>
      </w:r>
    </w:p>
    <w:p>
      <w:r>
        <w:rPr>
          <w:b/>
        </w:rPr>
        <w:t>E. 2.2.3.2</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Selon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(TF 6B_475/2023 du 14 juin 2023 consid. 4.1).</w:t>
      </w:r>
    </w:p>
    <w:p>
      <w:r>
        <w:rPr>
          <w:b/>
        </w:rPr>
        <w:t>E. 2.2.4</w:t>
      </w:r>
    </w:p>
    <w:p>
      <w:r>
        <w:t>En l’espèce, l’analyse opérée par la Juge d’application des peines apparaît complète, pertinente et convaincante, si bien qu’il n’y a pas lieu de s’en écarter. Le recourant présente toujours un déni tant des faits – particulièrement graves – qui ont mené à sa condamnation, que de sa pathologie psychiatrique. Il s’estime victime d’une machination dirigée contre lui par la justice et ne paraît pas s’investir dans le traitement thérapeutique, probablement en raison de son anosognosie, empêchant la mise en place d’une alliance thérapeutique. Le fait qu’il se rende régulièrement aux entretiens ne suffit pas à fonder un pronostic favorable, mais dénote plutôt d’un simple intérêt de façade, dans la mesure où il semble uniquement les investir afin de se décharger de sa situation pénale, mais aucunement dans une perspective thérapeutique, dont il ne semble pas percevoir l’utilité. L’absence totale de remise en question du recourant, couplée à son incapacité à débuter une véritable thérapie, font</w:t>
      </w:r>
    </w:p>
    <w:p>
      <w:r>
        <w:t>- 20 - apparaître la libération conditionnelle de la mesure comme étant très largement prématurée, étant au demeurant relevé qu’il s’agit là du premier examen annuel de la mesure pénale et que tous les intervenants ont préavisé en défaveur de la libération conditionnelle. Au surplus, le fait que le comportement du recourant ainsi que son hygiène au sein des EPO se soient améliorés ne suffit pas à retenir que le risque de récidive aurait diminué dans une mesure qui lui permettrait d’obtenir la possibilité de faire ses preuves en liberté. On rappelle à cet égard qu’au terme de leur rapport du 7 avril 2022, les experts ont retenu que le recourant présentait un risque élevé de récidive, comprenant des actes hétéro-agressifs, en raison notamment de son mépris des règles en vigueur ainsi que d’une sensibilité accrue à l’injustice, d’une banalisation de la violence, d’une grande irritabilité et d’une impulsivité marquée. Sur ce point, la colère, l’amertume et la frustration que le recourant éprouve quant à la vente d’une des parcelles de son terrain, respectivement à l’égard de ses voisins, ne semble pas s’être atténuée – comme l’en atteste d’ailleurs le contenu de ses divers écrits – et il est patent que, contrairement à ce qu’il soutient, une hypothétique vente future de sa maison ne le sortirait pas de ce conflit, au contraire. Au vu de ce qui précède, l’évolution du recourant n’a, en l’état, manifestement pas réduit dans une mesure suffisante le risque qu’il commette de nouvelles infractions en cas de libération conditionnelle, et il n’apparaît pas possible de poser, en l’état, un pronostic favorable quant à son comportement futur. Dans la pesée d’intérêts à effectuer, la dangerosité que le recourant présente et l’importance des biens juridiques à protéger – en particulier la vie et l’intégrité corporelle – l’emportent ainsi sur l'atteinte à ses droits. Le traitement ambulatoire proposé par la défense n’est pas à même de contenir le risque de récidive présenté par le recourant, compte tenu de sa dangerosité. C’est dès lors à juste titre que la Juge d’application des peines a considéré que la mesure demeurait proportionnée et qu’elle a refusé d’accorder au recourant la libération</w:t>
      </w:r>
    </w:p>
    <w:p>
      <w:r>
        <w:t>- 21 - conditionnelle de la mesure thérapeutique institutionnelle au sens de l’art. 59 CP ordonnée à son encontre. Partant, les griefs doivent être rejetés.</w:t>
      </w:r>
    </w:p>
    <w:p>
      <w:r>
        <w:rPr>
          <w:b/>
        </w:rPr>
        <w:t>E. 3</w:t>
      </w:r>
    </w:p>
    <w:p>
      <w:r>
        <w:t>En définitive, les recours de B.________ des 25 et 28 mars 2025 doivent être déclarés irrecevables et celui qu’il a déposé le 3 avril 2025 par l’intermédiaire de son défenseur d’office, manifestement mal fondé, doit être rejeté sans échange d'écritures (art. 390 al. 2 CPP). Il s’ensuit que l’ordonnance entreprise doit être confirmée. Me Pierre Ventura a produit une liste d’opérations à teneur de laquelle il annonce avoir consacré 3 heures et 5 minutes au mandat. Cette liste peut être admise. Au tarif horaire de 180 fr. (art. 2 al. 1 let. a RAJ [règlement sur l'assistance judiciaire en matière civile du 7 décembre 2010 ; BLV 211.02.3], par renvoi de l’art. 26b TFIP [tarif des frais de procédure et indemnités en matière pénale du 28 septembre 2010 ; BLV 312.03.1]), le défraiement s’élève à 555 francs. Il faut y ajouter 2 % pour les débours, soit 11 fr. 10, une vacation à 120 fr. (art. 3bis al. 1 et 3 RAJ par renvoi de l’art. 26b TFIP), et la TVA au taux de 8,1 % sur le tout, soit 55 fr. 57, de sorte que l’indemnité s’élève à 742 fr. au total en chiffres arrondis. Les frais de la procédure de recours, qui sont constitués en l’espèce de l’émolument d’arrêt, par 2’090 fr. (art. 20 al. 1 TFIP), et de l’indemnité due au défenseur d’office (art. 422 al. 1 et 2 let. a CPP), par 742 fr., seront mis à la charge du recourant, qui succombe (art. 428 al. 1 CPP). Le remboursement à l'Etat de l'indemnité allouée au défenseur d'office sera exigible du recourant dès que sa situation financière le permettra (art. 135 al. 4 CPP).</w:t>
      </w:r>
    </w:p>
    <w:p>
      <w:r>
        <w:t>- 22 - Par ces motifs, la Chambre des recours pénale prononce : I. Les recours des 25 et 28 mars 2025 sont irrecevables. II. Le recours du 3 avril 2025 est rejeté. III. L’ordonnance du 20 mars 2025 est confirmée. IV. L'indemnité allouée à Me Pierre Ventura, défenseur d'office de B.________, est fixée à 742 fr. (sept cent quarante-deux francs). V. Les frais d'arrêt, par 2’090 fr. (deux mille nonante francs), ainsi que l'indemnité allouée à Me Pierre Ventura, par 742 fr. (sept cent quarante-deux francs), sont mis à la charge de B.________. VI. Le remboursement à l’Etat de l’indemnité allouée au chiffre IV ci-dessus sera exigible de B.________ dès que sa situation financière le permettra. VII. L’arrêt est exécutoire. Le président : La greffière : Du Le présent arrêt, dont la rédaction a été approuvée à huis clos, est notifié, par l'envoi d'une copie complète, à : - Me Pierre Ventura, avocat (pour B.________), - Ministère public central, et communiqué à : - Mme la Juge d’application des peines, - M. le Procureur de l’arrondissement de Lausanne, - Office d’exécution des peines (réf. : OEP/MES/26659/CGY/GAM), - Direction des Etablissements de la plaine de l’Orbe, - M. [...], curateur,</w:t>
      </w:r>
    </w:p>
    <w:p>
      <w:r>
        <w:t>- 23 -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