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AP24.017217 vom 23. Oktober 2024</w:t>
      </w:r>
    </w:p>
    <w:p>
      <w:r>
        <w:t>VD Tribunal cantonal, 2024-10-23, FR</w:t>
      </w:r>
    </w:p>
    <w:p>
      <w:r>
        <w:rPr>
          <w:b/>
        </w:rPr>
        <w:t xml:space="preserve">Quelle: </w:t>
      </w:r>
      <w:r>
        <w:t>https://mcp.opencaselaw.ch/entscheid/vd_gerichte_AP24.017217</w:t>
      </w:r>
    </w:p>
    <w:p>
      <w:r>
        <w:t>FR: VD_GERICHTE AP24.017217 du 23 octobre 2024</w:t>
      </w:r>
    </w:p>
    <w:p>
      <w:r>
        <w:t>IT: VD_GERICHTE AP24.017217 del 23 ottobre 2024</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dans les formes prescrites (art. 385 al. 1 CPP), par le condamné qui a qualité pour recourir (art. 382 al. 1 CPP), le recours est recevable.</w:t>
      </w:r>
    </w:p>
    <w:p>
      <w:r>
        <w:rPr>
          <w:b/>
        </w:rPr>
        <w:t>E. 2.1</w:t>
      </w:r>
    </w:p>
    <w:p>
      <w:r>
        <w:t>Le recourant invoque une violation de l’art. 86 CP. Il soutient qu’il avait trouvé un nouvel emploi qui devait débuter en mai 2024 et que son incarcération l’aurait empêché de commencer cette activité. Il serait en outre difficile à la Prison de la Croisée de s’inscrire à des formations, les démarches devant pour la plupart être entreprises par Internet. En outre, se prévalant du préavis positif du Ministère public, il réaffirme sa volonté de changer et de se former. Dans cette perspective, il aurait obtenu</w:t>
      </w:r>
    </w:p>
    <w:p>
      <w:r>
        <w:t>- 10 - rapidement deux inscriptions à une formation et il aurait également pris contact avec un ancien professeur de l’école [...], M. [...], qui aurait eu un projet de foyer d’accueil pour les enfants et adolescents en difficultés dans lequel il aurait pu jouer un rôle. Il aurait ainsi activement cherché des solutions de réinsertion, contrairement à ce que la Juge d’application des peines aurait retenu. Par ailleurs, le recourant invoque que la première juge n’aurait pas procédé au pronostic différentiel imposé par la jurisprudence du Tribunal fédéral et relève sur ce point qu’il n’aurait aujourd’hui précisément « plus rien à tirer » du milieu carcéral et qu’il pâtirait injustement de sa mauvaise réputation auprès des forces de police et des autorités judiciaires. Il soutient enfin que la dernière procédure pénale en cours a été engagée initialement pour une infraction à la loi fédérale sur les armes et qu’il n’avait pas conscience de l’illégalité de posséder cette arme en raison de son casier judiciaire. Selon lui, si sa mauvaise réputation ne l’avait pas précédé, il serait probable qu’une telle infraction « mineure » n’aurait pas conduit à sa détention. De toute manière, il devrait bénéficier de la présomption d’innocence.</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Le comportement en détention ne constitue pas un critère déterminant en vue de l’octroi de la libération conditionnelle, sauf s’il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w:t>
      </w:r>
    </w:p>
    <w:p>
      <w:r>
        <w:t>- 11 - toxiques, etc.) (ATF 119 IV 5 consid. 1a/bb ; CREP 21 mai 2024/385 ; CREP 12 janvier 2024/24).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7B_421/2024 du 10 septembre 2024 consid. 2.1.1 ; TF 7B_191/2024 du 11 avril 2024 consid. 2.1.3 ; TF 7B_992/2023 du 13 mars 2024 consid. 2.1.2 et les références citées).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7B_421/2024 précité ; TF 7B_191/2024 précité ; TF 7B_992/2023 précité).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(ATF 133 IV 201 consid. 3.2 ; TF 7B_421/2024 précité ; TF 7B_191/2024 précité), lesquelles menacent de manière abstraite la santé</w:t>
      </w:r>
    </w:p>
    <w:p>
      <w:r>
        <w:t>- 12 - publique (cf. ATF 133 IV 201 précité ; ATF 124 IV 97 consid. 2c ; TF 7B_421/2024 précité ; TF 7B_191/2024 précité).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4a et 5b/bb ; TF 7B_421/2024 précité ; TF 7B_191/2024 précité).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consid. 4d/aa et bb ; TF 7B_191/2024 précité ; TF 7B_992/2023 précité). Dans l’émission du pronostic, l’autorité compétente dispose d’un large pouvoir d’appréciation (ATF 133 IV 201 consid. 2.3 ; TF 7B_191/2024 précité ; TF 7B_992/2023 précité).</w:t>
      </w:r>
    </w:p>
    <w:p>
      <w:r>
        <w:rPr>
          <w:b/>
        </w:rPr>
        <w:t>E. 2.3</w:t>
      </w:r>
    </w:p>
    <w:p>
      <w:r>
        <w:t>En l’espèce, il n’est pas contesté que le recourant a subi les deux tiers de sa peine le 5 octobre 2024, de sorte que la première des trois conditions cumulatives posée par l’art. 86 al. 1 CP est remplie, le terme de ses peines étant fixé au 2 février 2025. Quant à la deuxième condition de l’art. 86 al. 1 relative au bon comportement en détention, il convient de relever que lors de son séjour à la Prison de la Croisée, L.________ a écopé de cinq sanctions disciplinaires en l’espace d’un mois à peine, à savoir entre le 20 juin 2024, soit deux jours seulement après avoir commencé à exécuter ses peines, et le 27</w:t>
      </w:r>
    </w:p>
    <w:p>
      <w:r>
        <w:t>- 13 - août 2024, pour des faits relativement graves : avoir violemment fermé la porte de la salle d’attente du service médical, avoir possédé une machine à tatouer dans sa cellule, avoir demandé à un visiteur de lui apporter de la résine de cannabis (25 g), avoir insulté et menacé des collaborateurs et avoir essayé de prendre son traitement de force, et enfin avoir volé une cartouche de cigarettes à la cantine. Son comportement est exécrable et ce de manière constante, nécessitant d’innombrables recadrages, le recourant peinant à se conformer au règlement et recherchant sans arrêt le conflit tant avec le personnel qu’avec ses codétenus, étant souligné que plusieurs changements de cellule ont déjà dû être effectués dans un court laps de temps, afin de faire baisser les tensions engendrées par l’intéressé. Autrement dit, il ne s’agit pas de quelques écarts de conduite de temps à autre, mais bien d’une posture oppositionnelle et agressive constante de la part de l’intéressé. Au vu de l’ensemble de ces éléments, le mauvais comportement du recourant en détention atteint un degré de gravité interdisant d'emblée d'envisager un élargissement anticipé. A cela s’ajoute que les déclarations du recourant à cet égard ne rassurent absolument pas. Il dit ne plus supporter la prison et être victime de sa mauvaise réputation, respectivement du système. Sa tendance à se justifier et à se victimiser à l’égard de ses manquements passés soulève des doutes sur sa prise de conscience. De façon paradoxale, il demande aux autorités de lui faire confiance, mais fait tout pour convaincre celles-ci d’une absence totale d’introspection. Il perd ainsi de vue que les actes ont beaucoup plus de poids que les mots, comme l’a d’ailleurs souligné la première juge. Or, un bon comportement en détention, concrétisé en particulier par le respect du règlement, des agents de détention et des codétenus, était le strict minimum que l’on pouvait attendre du recourant, s’il entendait véritablement démontrer qu’il était digne de confiance. Par surabondance, on relèvera que le raisonnement de la première juge sur le risque de récidive peut de toute manière être entièrement confirmé, vu les nombreux antécédents du recourant avec récidives régulières, dont l’une a donné lieu à la révocation d’une précédente libération conditionnelle, étant rappelé que le casier judiciaire du recourant fait état de treize condamnations entre 2009 et 2024 pour</w:t>
      </w:r>
    </w:p>
    <w:p>
      <w:r>
        <w:t>- 14 - des infractions très variées, qui témoignent de son mépris des lois et des autorités, et vu son très mauvais comportement en détention. Le recourant allègue qu’avant d’être à nouveau incarcéré, il avait pris contact avec des thérapeutes pour ne pas se retrouver démuni face à sa réinsertion sociale et professionnelle, et avait également pris contact avec un de ses anciens professeurs de l’école [...], qui avait un projet d’accueil pour les enfants et adolescents en difficultés, le recourant devant l’aider dans ce projet et se former en cours d’emploi. Ces démarches constituent certes un début, mais elles ne suffisent largement pas, dans le contexte mentionné ci-dessus, à poser un pronostic qui n’est pas résolument défavorable. S’agissant en outre des deux inscriptions à une formation, datées du 13 septembre 2024, elles sont en réalité très tardives et apparaissent uniquement de circonstance. Au vu de l’ensemble de ces éléments, c’est à raison que la première juge a retenu l’existence d’un mauvais pronostic quant au risque de récidive. Sous l’angle du pronostic différentiel, la Chambre de céans est d’avis, à l’instar de l’OEP, qu’une amélioration peut être attendue du condamné, si celui-ci utilise le temps de détention restant pour changer radicalement de comportement et pour solliciter l’aide des intervenants en vue de parvenir à concrétiser un projet viable à sa sortie de prison. Une telle solution présente un avantage pour sa réinsertion, mais aussi et surtout pour la sécurité publique à laquelle la priorité doit être accordée. En effet, sur ce dernier point et dans un tel cas de figure, avec un tel déséquilibre entre le risque de récidive et les facteurs protecteurs concrets, quasiment inexistants, un pronostic différentiel ne peut que conduire à un maintien en exécution de peine. Au vu de l’ensemble des éléments qui précèdent, la libération conditionnelle doit être refusée à L.________.</w:t>
      </w:r>
    </w:p>
    <w:p>
      <w:r>
        <w:rPr>
          <w:b/>
        </w:rPr>
        <w:t>E. 3</w:t>
      </w:r>
    </w:p>
    <w:p>
      <w:r>
        <w:t>En définitive, le recours doit être rejeté sans échange d’écritures (art. 390 al. 2 CPP) et la décision entreprise confirmée.</w:t>
      </w:r>
    </w:p>
    <w:p>
      <w:r>
        <w:t>- 15 - Le 27 août 2024, la Juge d’application des peines a désigné Me Martine Dang en qualité de défenseur d’office de L.________. Au vu de la nature de l’affaire et du mémoire de recours, il sera retenu 3 heures d’activité nécessaire d’avocat, indemnisées au tarif horaire de 180 fr. (art. 2 al. 1 let. a RAJ [règlement du 7 décembre 2010 sur l'assistance judiciaire en matière civile ; BLV 211.02.3], par renvoi de l’art. 18 al. 5 LPA-VD), soit 540 francs. Viendront s’y ajouter des débours forfaitaires à concurrence de 2 % des honoraires admis (art. 3bis al. 1 RAJ), par 10 fr. 80, et la TVA au taux de 8,1 % (art. 25 al. 1 LTVA [loi fédérale du 12 juin 2009 régissant la taxe sur la valeur ajoutée ; RS 641.20]) sur le tout, par 44 fr. 60. Au total, l’indemnité s’élèvera à 596 fr. en chiffres arrondis. Vu l’issue de la cause, les frais de la procédure, constitués de l’émolument d’arrêt, par 1’540 fr. (art. 20 al. 1 TFIP [tarif des frais de procédure et indemnités en matière pénale du 28 septembre 2010 ; BLV 312.03.1]), ainsi que de l’indemnité allouée à son défenseur d’office, par 596 fr., seront mis à la charge du recourant, qui succombe (art. 428 al. 1 CPP). Le recourant remboursera à l’Etat l’indemnité de son avocat d’office dès que sa situation financière le permettra (cf. art. 123 CPC [Code de procédure civile du 19 décembre 2008 ; RS 272], par renvoi de l’art. 18 al. 5 LPA-VD). Par ces motifs, la Chambre des recours pénale prononce : I. Le recours est rejeté. II. L’ordonnance du 1er octobre 2024 est confirmée. III. L’indemnité allouée à Me Martine Dang, défenseur d'office de L.________, est fixée à 596 fr. (cinq cent nonante-six francs). IV. Les frais d'arrêt, par 1'540 fr. (mille cinq cent quarante francs), ainsi que l'indemnité allouée à Me Martine Dang, par 596 fr.</w:t>
      </w:r>
    </w:p>
    <w:p>
      <w:r>
        <w:t>- 16 - (cinq cent nonante-six francs), sont mis à la charge de L.________. V. L.________ remboursera à l’Etat l’indemnité allouée sous chiffre III dès que sa situation financière le permettra. VI. L’arrêt est exécutoire. La vice-présidente : La greffière : Du Le présent arrêt, dont la rédaction a été approuvée à huis clos, est notifié, par l'envoi d'une copie complète, à : - Me Martine Dang, avocate (pour L.________), - Ministère public central ; et communiqué à : - Mme la Juge d’application des peines, - Mme la Procureure cantonale Strada, - Mme la Procureure de l’arrondissement de Lausanne (PE24.010665- RETG, en cours), - Office d’exécution des peines (réf. : OEP/PPL/64697/VRI/AMO),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