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AP24.016718 vom 13. August 2024</w:t>
      </w:r>
    </w:p>
    <w:p>
      <w:r>
        <w:t>VD Tribunal cantonal, 2024-08-13, FR</w:t>
      </w:r>
    </w:p>
    <w:p>
      <w:r>
        <w:rPr>
          <w:b/>
        </w:rPr>
        <w:t xml:space="preserve">Quelle: </w:t>
      </w:r>
      <w:r>
        <w:t>https://mcp.opencaselaw.ch/entscheid/vd_gerichte_AP24.016718</w:t>
      </w:r>
    </w:p>
    <w:p>
      <w:r>
        <w:t>FR: VD_GERICHTE AP24.016718 du 13 août 2024</w:t>
      </w:r>
    </w:p>
    <w:p>
      <w:r>
        <w:t>IT: VD_GERICHTE AP24.016718 del 13 agosto 2024</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 lequel est notamment compétent pour autoriser la personne condamnée à exécuter sa peine sous le régime de la semi-détention (art. 19 al. 1 let. b LEP), autoriser la personne condamnée à exécuter une peine privative de liberté sous forme de surveillance électronique (art. 20 al. 2 let. a LEP) et autoriser le report de l’exécution de la peine (art. 19 al. 1 let. k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Les questions de procédure qui ne sont pas réglées par les articles du CPP relatifs à la procédure de recours sont régis par les dispositions de la LPA-VD (loi vaudoise sur la procédure administrative du 28 octobre 2008 ; BLV 173.36), en vertu de l’art. 2 LPA-VD.</w:t>
      </w:r>
    </w:p>
    <w:p>
      <w:r>
        <w:rPr>
          <w:b/>
        </w:rPr>
        <w:t>E. 1.2</w:t>
      </w:r>
    </w:p>
    <w:p>
      <w:r>
        <w:t>En l’espèce, l’acte de recours a été déposé en temps utile et satisfait aux exigences de forme (art. 385 al. 1 CPP) de sorte qu’il est recevable.</w:t>
      </w:r>
    </w:p>
    <w:p>
      <w:r>
        <w:t>- 8 -</w:t>
      </w:r>
    </w:p>
    <w:p>
      <w:r>
        <w:rPr>
          <w:b/>
        </w:rPr>
        <w:t>E. 2.1</w:t>
      </w:r>
    </w:p>
    <w:p>
      <w:r>
        <w:t>Le recourant se réfère à l’art. 64 al. 1 LPA-VD et invoque que l’activité de sa société est beaucoup plus fructueuse après la conclusion de plusieurs contrats importants entre novembre 2023 et juillet 2024. Il explique en outre avoir confié la gestion administrative et la comptabilité de son entreprise à une fiduciaire et avoir engagé trois nouveaux salariés dès le 1er mars 2024. Compte tenu de ce nouveau contexte, il soutient qu’on devrait considérer qu’il ne s’expose pas à une récidive, sa société étant désormais correctement gérée. Il affirme en outre qu’une exécution de peine en régime ordinaire aurait pour conséquence d’entraîner la faillite de sa société, des licenciements, des dettes auprès des administrations publiques, le recours à l’assistance sociale, le non- renouvellement de son permis B avec un renvoi dans son pays natal, le Kosovo, ainsi qu’un éclatement de sa famille.</w:t>
      </w:r>
    </w:p>
    <w:p>
      <w:r>
        <w:rPr>
          <w:b/>
        </w:rPr>
        <w:t>E. 2.2.1</w:t>
      </w:r>
    </w:p>
    <w:p>
      <w:r>
        <w:t>Selon l’art. 64 al. 1 LPA-VD, une partie peut demander à l'autorité de réexaminer sa décision. L’autorité entre en matière sur la demande si l'état de fait à la base de la décision s'est modifié dans une mesure notable depuis lors (al. 2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w:t>
      </w:r>
    </w:p>
    <w:p>
      <w:r>
        <w:rPr>
          <w:b/>
        </w:rPr>
        <w:t>E. 2.2.2</w:t>
      </w:r>
    </w:p>
    <w:p>
      <w:r>
        <w:t>Aux termes de l'art. 77b al. 1 CP, une peine privative de liberté de 12 mois au plus, ou un solde de peine de 6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w:t>
      </w:r>
    </w:p>
    <w:p>
      <w:r>
        <w:t>- 9 -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 En application du principe de la force dérogatoire du droit fédéral, les cantons ne peuvent pas soumettre le régime de la semi- détention à des conditions plus sévères que celles posées par l'art. 77b CP (ATF 145 IV 10 consid. 2.3). L'art. 5 al. 1 RSD (Règlement concordataire sur l'exécution des peines sous la forme de la semi-détention du 20 décembre 2017 ; BLV 340.95.3) précise notamment que, pour bénéficier de la semi-détention, la personne condamnée doit en avoir fait la demande (let. a), ne pas présenter de risque de fuite (let. b) ni de risque de réitération (let. c), poursuivre une activité professionnelle ou une formation reconnue avec un taux d'occupation d'au moins 20 heures par semaine (let. f) et présenter des garanties quant au respect des conditions-cadre de la semi-détention et du règlement de l'établissement d'exécution (let. g).</w:t>
      </w:r>
    </w:p>
    <w:p>
      <w:r>
        <w:rPr>
          <w:b/>
        </w:rPr>
        <w:t>E. 2.3</w:t>
      </w:r>
    </w:p>
    <w:p>
      <w:r>
        <w:t>En l’espèce, il n’est pas contesté que S.________ n’a pas recouru contre l’ordre d’exécution de peine du 22 juin 2023 et que le refus de report de cette exécution, de même que le refus d’octroi du régime de le semi-détention, ont été confirmés par la Chambre de céans en date du 20 novembre 2023 et par le Tribunal fédéral le 8 mai suivant. La présente cause ne porte ainsi que sur un éventuel réexamen de cette dernière question, requis en application de l’art. 64 LPA-VD, le recourant n’invoquant plus un motif grave au sens de l’art. 92 CP. Les nouveaux éléments invoqués par le recourant, à savoir le développement prometteur de son entreprise après la conclusion de</w:t>
      </w:r>
    </w:p>
    <w:p>
      <w:r>
        <w:t>- 10 - plusieurs contrats importants et la réorganisation interne de cette dernière, ne paraissent cependant pas suffisants pour renverser l’appréciation très négative émise encore récemment par la Chambre de céans et le Tribunal fédéral. Il faut en effet rappeler que ces décisions sont fondées principalement sur les antécédents très défavorables du recourant depuis 2011 et son manque d’introspection. D’ailleurs, la nouvelle condamnation du recourant, datant du 9 janvier 2024, invoquée par l’OEP, certes non définitive, présente néanmoins un indice supplémentaire concret de l’ancrage profond du recourant dans la délinquance rendant celui-ci totalement inéligible au régime de la semi- détention. Les conséquences d’ordre professionnel et familial alléguées par le recourant en cas d’exécution de sa peine privative de liberté sous le régime ordinaire ne laissent évidemment pas insensibles mais elles sont inhérentes à toute exécution de peine et ne peuvent être prises en considération en tant que telles. Ce pronostic défavorable est encore renforcé par la quotité de la privation de liberté supplémentaire importante prononcée le 9 janvier 2024, soit 18 mois. Au vu de ce qui précède, c’est à raison que l’OEP a considéré que la situation du recourant ne s’était pas modifiée dans une mesure notable depuis le 27 octobre 2023 et qu’il a refusé d’entrer en matière sur la demande de réexamen, le recourant ne remplissant manifestement pas les conditions pour bénéficier du régime de la semi-détention.</w:t>
      </w:r>
    </w:p>
    <w:p>
      <w:r>
        <w:rPr>
          <w:b/>
        </w:rPr>
        <w:t>E. 3</w:t>
      </w:r>
    </w:p>
    <w:p>
      <w:r>
        <w:t>En définitive, le recours, manifestement mal fondé, doit être rejeté sans échange d’écritures et la décision entreprise confirmée. Vu l’issue de la cause, les frais de la procédure de recours, constitués du seul émolument d’arrêt,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II. La décision du 16 juillet 2024 est confirmée. III. Les frais d’arrêt, par 1’100 fr. (mille cent francs), sont mis à la charge de S.________. IV. L’arrêt est exécutoire. Le président : La greffière : Du Le présent arrêt, dont la rédaction a été approuvée à huis clos, est notifié, par l'envoi d'une copie complète, à : - Me Vincent Demierre, avocat (pour S.________), - Ministère public central, et communiqué à : - Office d’exécution des peines (OEP/SMO/866882/BD), - Etablissement de détention fribourgeois EDFR,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