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AP24.010179 vom 15. Mai 2024</w:t>
      </w:r>
    </w:p>
    <w:p>
      <w:r>
        <w:t>VD Tribunal cantonal, 2024-05-15, FR</w:t>
      </w:r>
    </w:p>
    <w:p>
      <w:r>
        <w:rPr>
          <w:b/>
        </w:rPr>
        <w:t xml:space="preserve">Quelle: </w:t>
      </w:r>
      <w:r>
        <w:t>https://mcp.opencaselaw.ch/entscheid/vd_gerichte_AP24.010179</w:t>
      </w:r>
    </w:p>
    <w:p>
      <w:r>
        <w:t>FR: VD_GERICHTE AP24.010179 du 15 mai 2024</w:t>
      </w:r>
    </w:p>
    <w:p>
      <w:r>
        <w:t>IT: VD_GERICHTE AP24.010179 del 15 maggio 2024</w:t>
      </w:r>
    </w:p>
    <w:p>
      <w:pPr>
        <w:pStyle w:val="Heading2"/>
      </w:pPr>
      <w:r>
        <w:t>Erwägungen</w:t>
      </w:r>
    </w:p>
    <w:p>
      <w:r>
        <w:rPr>
          <w:b/>
        </w:rPr>
        <w:t>E. 1.1</w:t>
      </w:r>
    </w:p>
    <w:p>
      <w:r>
        <w:t>Aux termes de l'art. 38 al. 1 LEP (loi vaudoise du 4 juillet 2006 sur l’exécution des condamnations pénales ; BLV 340.01), les décisions rendues par l’Office d’exécution des peines – lequel est notamment compétent pour autoriser la personne condamnée à exécuter une peine privative de liberté sous forme de surveillance électronique (art. 20 al. 2 let. a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 CREP 19 avril 2024/285 consid. 1.1).</w:t>
      </w:r>
    </w:p>
    <w:p>
      <w:r>
        <w:rPr>
          <w:b/>
        </w:rPr>
        <w:t>E. 1.2.1</w:t>
      </w:r>
    </w:p>
    <w:p>
      <w:r>
        <w:t>Dans son courrier du 7 mai 2024, le recourant indique qu’il n’est « pas d’accord avec la décision de la prison » et requiert une « décision juste » de la part de l’autorité de céans, à qui il demande de « reconsidérer son cas » car la peine qui lui a été infligée serait « trop sévère pour une petite erreur » commise parce qu’il aurait « fait confiance aux mauvaises personnes », lesquelles auraient « abusé de sa confiance » et « commis un crime ». Il soutient qu’il souhaiterait continuer sa vie « avec [s]a femme et [s]a famille ici en Suisse ». Il réitère sa demande tendant à bénéficier de la « détention cantonale afin de travailler ».</w:t>
      </w:r>
    </w:p>
    <w:p>
      <w:r>
        <w:rPr>
          <w:b/>
        </w:rPr>
        <w:t>E. 1.2.2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w:t>
      </w:r>
    </w:p>
    <w:p>
      <w:r>
        <w:t>- 4 - décision (let. b) et les moyens de preuves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références citées).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w:t>
      </w:r>
    </w:p>
    <w:p>
      <w:r>
        <w:rPr>
          <w:b/>
        </w:rPr>
        <w:t>E. 1.3</w:t>
      </w:r>
    </w:p>
    <w:p>
      <w:r>
        <w:t>En l’espèce, même si l’on discerne que le recourant dénonce une situation qu’il qualifie de « trop sévère », il ne développe aucune argumentation explicite – factuelle ou juridique – contre la décision entreprise, respectivement sa motivation. En particulier, il ne se prévaut pas de ce que le raisonnement suivi par l’Office d’exécution des peines procéderait d’une application erronée de la loi. Faute de motivation topique, le recours ne satisfait dès lors pas aux exigences de l'art. 385 al. 1 CPP, étant précisé qu’un tel défaut de motivation ne saurait justifier qu'un délai supplémentaire soit fixé au recourant pour compléter son acte en application de l'alinéa 2 de cette même disposition. Le recours est donc irrecevable.</w:t>
      </w:r>
    </w:p>
    <w:p>
      <w:r>
        <w:t>- 5 - Quoi qu’il en soit, même recevable, le recours devrait être rejeté pour les motifs qui suivent.</w:t>
      </w:r>
    </w:p>
    <w:p>
      <w:r>
        <w:rPr>
          <w:b/>
        </w:rPr>
        <w:t>E. 2.1</w:t>
      </w:r>
    </w:p>
    <w:p>
      <w:r>
        <w:t>L’art. 79b al. 1 CP (Code pénal suisse du 21 décembre 1937 ; RS 311.0) prévoit qu’à la demande du condamné, l'autorité d'exécution peut ordonner l'utilisation d'un appareil électronique fixé au condamné (surveillance électronique) au titre de l'exécution d'une peine privative de liberté ou d'une peine privative de liberté de substitution de vingt jours à douze mois (let. a), ou à la place du travail externe ou du travail et logement externes, pour une durée de trois à douze mois (let. b). Dans un arrêt récent du 18 mars 2024 (TF 7B_261/2023) destiné à publication, le Tribunal fédéral a jugé que le régime de la surveillance électronique pouvait être envisagé comme forme d’exécution de la peine si la partie ferme de la peine privative de liberté assortie d’un sursis partiel n’excédait pas 12 mois. Selon l’art. 79b al. 2 CP, l’autorité compétente – dans le canton de Vaud, l’OEP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 En droit cantonal, les conditions de ce mode d’exécution font l’objet du RESE (règlement concordataire sur l'exécution des peines privatives de liberté sous surveillance électronique du 20 décembre 2017 ; BLV 340.95.5), qui précise les conditions découlant du droit fédéral. Les conditions personnelles à remplir pour bénéficier du régime de la surveillance électronique figurent à l'art. 4 al. 1 RESE.</w:t>
      </w:r>
    </w:p>
    <w:p>
      <w:r>
        <w:t>- 6 -</w:t>
      </w:r>
    </w:p>
    <w:p>
      <w:r>
        <w:rPr>
          <w:b/>
        </w:rPr>
        <w:t>E. 2.2</w:t>
      </w:r>
    </w:p>
    <w:p>
      <w:r>
        <w:t>En l’espèce, la partie ferme de la peine privative de liberté que le recourant doit purger est supérieure à 12 mois, ce qu’il ne conteste, à juste titre, pas, étant relevé que les circonstances personnelles, respectivement familiales qu’il plaide ne sont aucunement déterminantes. Par conséquent, et eu égard à la jurisprudence exposée ci-dessus, le régime de la surveillance électronique ne pourrait pas lui être octroyé, de sorte que son recours serait mal fondé.</w:t>
      </w:r>
    </w:p>
    <w:p>
      <w:r>
        <w:rPr>
          <w:b/>
        </w:rPr>
        <w:t>E. 3</w:t>
      </w:r>
    </w:p>
    <w:p>
      <w:r>
        <w:t>Au vu de ce qui précède, le recours doit être déclaré irrecevable, sans échange d’écritures (art. 390 al. 2 CPP). Les frais de la procédure de recours, constitués en l’espèce du seul émolument d’arrêt, par 660 fr. (art. 20 al. 1 TFIP [tarif des frais de procédure et indemnités en matière pénale du 28 septembre 2010 ; BLV 312.03.1]), seront mis à la charge du recourant, qui succombe (art. 428 al. 1 CPP). Par ces motifs, la Chambre des recours pénale prononce : I. Le recours est irrecevable. II. Les frais d’arrêt, par 660 fr. (six cent soixante francs), sont mis à la charge de G.________. III. L’arrêt est exécutoire. La vice-présidente : La greffière : Du Le présent arrêt, dont la rédaction a été approuvée à huis clos, est notifié, par l'envoi d'une copie complète, à : - M. G.________,</w:t>
      </w:r>
    </w:p>
    <w:p>
      <w:r>
        <w:t>- 7 - - Ministère public central, et communiqué à : - Office d’exécution des peines, - Direction de l’Etablissement de détention fribourgeois (EDFR) – site Bellechasse,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