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AP24.007347 vom 10. April 2024</w:t>
      </w:r>
    </w:p>
    <w:p>
      <w:r>
        <w:t>VD Tribunal cantonal, 2024-04-10, FR</w:t>
      </w:r>
    </w:p>
    <w:p>
      <w:r>
        <w:rPr>
          <w:b/>
        </w:rPr>
        <w:t xml:space="preserve">Quelle: </w:t>
      </w:r>
      <w:r>
        <w:t>https://mcp.opencaselaw.ch/entscheid/vd_gerichte_AP24.007347</w:t>
      </w:r>
    </w:p>
    <w:p>
      <w:r>
        <w:t>FR: VD_GERICHTE AP24.007347 du 10 avril 2024</w:t>
      </w:r>
    </w:p>
    <w:p>
      <w:r>
        <w:t>IT: VD_GERICHTE AP24.007347 del 10 aprile 2024</w:t>
      </w:r>
    </w:p>
    <w:p>
      <w:pPr>
        <w:pStyle w:val="Heading2"/>
      </w:pPr>
      <w:r>
        <w:t>Volltext</w:t>
      </w:r>
    </w:p>
    <w:p>
      <w:r>
        <w:t>TRIBUNAL CANTONAL 271 OEP/MES/26659/AVI/GAM CHAMBRE DE S RECO URS PEN ALE __________________________________________ Arrêt du 10 avril 2024 __________________ Composition : M. KRIEGER, président Mme Fonjallaz et Elkaim, juges Greffière : Mme Morand ***** Art. 385 al. 1 CPP Statuant sur le recours interjeté le 21 mars 2024 par B.________ contre la décision rendue le 14 mars 2024 par l’Office d’exécution des peines dans la cause n° OEP/MES/26659/AVI/GAM, la Chambre des recours pénale considère : En fait : A. a) Par ordonnance pénale du 9 avril 2019, dont le caractère définitif et exécutoire a été constaté le 29 juin 2020, le Ministère public de l’arrondissement de La Côte a condamné B.________ pour menaces, ainsi que violence ou menace contre les autorités et les fonctionnaires, à une peine privative de liberté de 150 jours, sous déduction de 22 jours de 351</w:t>
      </w:r>
    </w:p>
    <w:p>
      <w:r>
        <w:t>- 2 - détention provisoire et de 10 jours à titre de réparation du préjudice causé par les conditions de détention. Par ordonnance pénale du 3 février 2020, dont le caractère définitif et exécutoire a été constaté le 29 juillet 2020, le Ministère public de l’arrondissement du Nord vaudois a condamné B.________ pour dommages à la propriété, injure, menaces, tentatives de contrainte et violation de domicile, à une peine privative de liberté de 120 jours, ainsi qu’à une peine pécuniaire de 10 jours-amende à 50 fr. le jour. b) Le 7 avril 2022, dans le cadre d’une nouvelle enquête, le Centre d’expertises du Centre hospitalier universitaire vaudois a rendu son rapport d’expertise psychiatrique concernant B.________. Il en ressort notamment que ce dernier présente un trouble de la personnalité paranoïaque, couplé à une sensibilité à l’injustice, une banalisation de la violence, ainsi qu’un certain mépris des règles en vigueur. Il présente également une irritabilité et une impulsivité marquées, ainsi que de faibles capacités d’introspection et de probables capacités cognitives limitées. Il est en outre fait état que B.________ ne présente aucun plan réaliste concernant son futur, se montrant peu motivé à entreprendre un suivi psychiatrique, et le conflit avec ses voisins est chronique et aigu, de sorte que le risque de commission d’actes de même nature est considéré comme élevé. c) Par jugement du 11 septembre 2023, dont le caractère définitif et exécutoire a été constaté le 15 décembre 2023, la Cour d’appel pénale du Tribunal cantonal vaudois a constaté que B.________ s’était rendu coupable de tentative de meurtre, de lésions corporelles simples qualifiées, de rixe, de vol d’importance mineure, de dommages à la propriété d’importance mineure, d’injure, de menaces, de violation de domicile et de violence ou menace contre les autorités et les fonctionnaires. Elle l’a condamné à une peine privative de liberté de 40 mois, sous déduction de la détention avant jugement par 647 jours à la date du 3 mars 2023 et d’un jour à titre de réparation du tort moral pour un jour de détention dans des conditions illicites, à une peine pécuniaire</w:t>
      </w:r>
    </w:p>
    <w:p>
      <w:r>
        <w:t>- 3 - de 40 jours-amende à 30 fr. le jour, ainsi qu’à une amende de 600 fr., la peine privative de liberté de substitution étant fixée à 6 jours. Elle a en outre ordonné une mensure thérapeutique, au sens de l’art. 59 CP en faveur du concerné. d) B.________ est incarcéré à la prison du Bois-Mermet depuis le 8 juin 2021. Par demande du 4 mars 2024, la Direction de la prison du Bois- Mermet a sollicité le transfert de B.________ auprès des Etablissements de la plaine de l’Orbe. Par courrier du 13 mars 2024, la Direction des Etablissements de la plaine de l’Orbe a informé l’Office d’exécution des peines (ci-après : l’OEP) de la possibilité d’accueillir B.________ au sein du pénitencier dès le 18 mars 2024. B. Par décision du 14 mars 2024, l’OEP a ordonné le placement institutionnel de B.________, avec effet rétroactif au 11 septembre 2023, au sein de la Prison du Bois-Mermet, puis, dès le 18 mars 2024, au sein du Pénitencier des EPO, avec la poursuite du suivi psychothérapeutique auprès du Service de médecine et psychiatrie pénitentiaires (SMPP). Il a en outre suspendu les peines privatives de liberté de 150 et de 120 jours – prononcées respectivement par ordonnances pénales des 9 avril 2019 du Ministère public de l’arrondissement de La Côte et 3 février 2020 du Ministère public de l’arrondissement du Nord vaudois – au profit de la mesure thérapeutique institutionnelle, au sens de l’art. 59 CP. Il a également dit qu’une rencontre, en présence d’un représentant de l’OEP, aurait lieu après l’arrivée de B.________ aux EPO, afin notamment de lui expliquer le déroulement de la mesure thérapeutique institutionnelle, qu’un réseau interdisciplinaire serait organisé au terme d’une première évaluation dans le courant du dernier trimestre 2024, en vue d’établir un plan d’exécution de la mesure et de planifier les prochaines étapes de la mesure pénale, qu’une évaluation criminologique serait requise auprès de l’Unité d’évaluation criminologique du Service pénitentiaire (UEC) pour le</w:t>
      </w:r>
    </w:p>
    <w:p>
      <w:r>
        <w:t>- 4 - réseau interdisciplinaire susmentionné, que la planification de l’exécution de la mesure pénale et de tout élargissement de régime seraient soumis à la Commission interdisciplinaire consultative concernant les délinquants nécessitant une prise en charge psychiatrique (CIC), que la Direction de l’établissement carcéral ainsi que le SMPP seraient invités à établir un rapport écrit au minimum une fois par année à l’attention de l’OEP afin de décrire le déroulement de la prise en charge de l’intéressé et de lui faire toute proposition opportune, que les intervenants devraient communiquer à l’OEP, sans délai, tout incident ou insoumission du concerné quant au cadre qui lui sera fixé, que l’OEP saisirait une fois par année le Juge d’application des peines afin que ce dernier examine la question de l’éventuelle libération conditionnelle de la mesure thérapeutique institutionnelle et, cas échéant, après une durée de cinq ans, l’éventuelle prolongation de ladite mesure et que B.________ est encouragé à collaborer activement avec l’ensemble des personnes intervenant dans sa prise en charge en étant acteur du suivi dont il bénéficie, afin de démontrer son aptitude à s’adapter et à évoluer dans un cadre correspondant à ses besoins. C. Par acte daté du 16 mars 2024, posté le 21 mars 2024, B.________ a recouru contre la décision du 14 mars 2024. Il n’a pas été ordonné d’échange d’écritures. En d roit : 1. 1.1 Selon l’art. 38 al. 1 LEP, les décisions rendues par l’Office d’exécution des peines peuvent faire l’objet d’un recours auprès du Tribunal cantonal. La procédure est régie par les dispositions du CPP relatives au recours (art. 38 al. 2 LEP).</w:t>
      </w:r>
    </w:p>
    <w:p>
      <w:r>
        <w:t>- 5 -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auprès de l’autorité compétente, par une partie ayant qualité pour recourir (cf. art. 382 al. 1 CP), le recours est recevable à ce titre. Autre est toutefois la question de savoir si l’acte de recours a été établi dans les formes prescrites (art. 385 al. 1 CPP), comme on le verra ci-après. 2. 2.1 2.1.1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 Heer/Wiprächtiger [éd.], Basler Kommentar, Schweizerische Strafprozessordnung, Jugendstrafprozessordnung, 3e éd., Bâle 2023 [ci-après : Basler Kommentar], n. 2 ad art. 385 StPO ; Pitteloud, Code de procédure pénale suisse, Commentaire à l’usage des praticiens, Zurich/St-Gall 2012, n. 1126).</w:t>
      </w:r>
    </w:p>
    <w:p>
      <w:r>
        <w:t>- 6 -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citées ; TF 1B_318/2021 du 25 janvier 2022 consid. 4.1 ; TF 6B_191/2021 du 11 août 2021 consid. 2 ; Keller, in : Donatsch/Lieber/Summers/Wohlers [éd.], Zürcher Kommentar, Kommentar zur Schweizerischen Strafprozessordnung, 3e éd. 2020, n. 14 ad art. 396 StPO et les réf. citées ; Calame, in : Jeanneret et al. [éd.], Commentaire romand, Code de procédure pénale suisse, 2e éd. 2019, n. 21 ad art. 385 CPP ; Guidon, in : Basler Kommentar, op. cit., n. 9c ad art. 396 StPO et les réf. citées). 2.2.2 L’art. 385 al. 2, 1re phrase, CPP prévoit que si le mémoire ne satisfait pas aux exigences mentionnées à l’al.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w:t>
      </w:r>
    </w:p>
    <w:p>
      <w:r>
        <w:t>- 7 - 6B_609/2021 du 19 juillet 2021 consid. 2.4 ; TF 6B_510/2020 du 15 septembre 2020 consid. 2.2 et les réf. citées). 2.2.3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(cf. p. ex. TF 6B_1447/2022 précité). 2.3 En l’espèce, l’acte de recours ne comporte aucune motivation intelligible qui serait dirigée contre les motifs de la décision querellée. En effet, le recourant se borne à contester le jugement au fond du 11 septembre 2023 et l’expertise psychiatrique. L’acte de recours ne satisfait dès lors pas aux exigences de motivation de l’art. 385 al. 1 CPP. Un tel défaut de motivation ne saurait justifier qu’un délai supplémentaire soit imparti au recourant pour compléter son acte en application de l’art. 385 al. 2 CPP. 3. Il résulte de ce qui précède que le recours doit être déclaré irrecevable, sans échange d’écritures (art. 390 al. 2 CPP). Les frais de la procédure de recours, constitués en l’espèce de l’émolument d’arrêt, par 770 fr. (art. 20 al. 1 TFIP [tarif des frais de procédure et indemnités en matière pénale du 28 septembre 2010 ; BLV 312.03.1]), seront mis à la charge du recourant, qui doit être considéré comme ayant succombé (art. 428 al. 1 CPP).</w:t>
      </w:r>
    </w:p>
    <w:p>
      <w:r>
        <w:t>- 8 - Par ces motifs, la Chambre des recours pénale prononce : I. Le recours est irrecevable. II. Les frais d’arrêt, par 770 fr. (sept cent septante francs), sont mis à la charge du recourant B.________. III. L’arrêt est exécutoire. Le président : La greffière : Du Le présent arrêt, dont la rédaction a été approuvée à huis clos, est notifié, par l’envoi d’une copie complète, à : - B.________, personnellement, - Ministère public central, et communiqué à : - Office d’exécution des peines, - Direction des EPO, - SMPP, Service médical des EPO, - Service des curatelles et tutelles professionnelles, à l’att. de M. [...],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