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AP23.023858 vom 18. Dezember 2023</w:t>
      </w:r>
    </w:p>
    <w:p>
      <w:r>
        <w:t>VD Tribunal cantonal, 2023-12-18, FR</w:t>
      </w:r>
    </w:p>
    <w:p>
      <w:r>
        <w:rPr>
          <w:b/>
        </w:rPr>
        <w:t xml:space="preserve">Quelle: </w:t>
      </w:r>
      <w:r>
        <w:t>https://mcp.opencaselaw.ch/entscheid/vd_gerichte_AP23.023858</w:t>
      </w:r>
    </w:p>
    <w:p>
      <w:r>
        <w:t>FR: VD_GERICHTE AP23.023858 du 18 décembre 2023</w:t>
      </w:r>
    </w:p>
    <w:p>
      <w:r>
        <w:t>IT: VD_GERICHTE AP23.023858 del 18 dicembre 2023</w:t>
      </w:r>
    </w:p>
    <w:p>
      <w:pPr>
        <w:pStyle w:val="Heading2"/>
      </w:pPr>
      <w:r>
        <w:t>Erwägungen</w:t>
      </w:r>
    </w:p>
    <w:p>
      <w:r>
        <w:rPr>
          <w:b/>
        </w:rPr>
        <w:t>E. 1.1</w:t>
      </w:r>
    </w:p>
    <w:p>
      <w:r>
        <w:t>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w:t>
      </w:r>
    </w:p>
    <w:p>
      <w:r>
        <w:rPr>
          <w:b/>
        </w:rPr>
        <w:t>E. 1.2</w:t>
      </w:r>
    </w:p>
    <w:p>
      <w:r>
        <w:t>En l'espèce, le recours a été déposé en temps utile auprès de l'autorité compétente, par un détenu qui a la qualité pour recourir (art. 382 al. 1 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1a ad art. 385 StPO).</w:t>
      </w:r>
    </w:p>
    <w:p>
      <w:r>
        <w:t>- 5 -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w:t>
      </w:r>
    </w:p>
    <w:p>
      <w:r>
        <w:rPr>
          <w:b/>
        </w:rPr>
        <w:t>E. 1.3.2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w:t>
      </w:r>
    </w:p>
    <w:p>
      <w:r>
        <w:t>- 6 - 6B_609/2021 du 19 juillet 2021 consid. 2.4 ; TF 6B_510/2020 du 15 septembre 2020 consid. 2.2 et les références citées).</w:t>
      </w:r>
    </w:p>
    <w:p>
      <w:r>
        <w:rPr>
          <w:b/>
        </w:rPr>
        <w:t>E. 1.4.1</w:t>
      </w:r>
    </w:p>
    <w:p>
      <w:r>
        <w:t>Le recourant requiert de pouvoir exécuter sa peine privative de liberté sous le régime de la surveillance électronique, subsidiairement sous le régime de la semi-détention. Il explique en substance qu’il vit avec des douleurs permanentes ce qui le rendrait irritable et serait la raison de ses actes délictueux. Il indique qu’il ne trouve pas de travail car il est en mauvaise santé. Par ailleurs il souhaite voir ses enfants, et voyager lui permet de tenir le coup et d’appréhender plus aisément les problèmes liés à son quotidien. Il indique enfin qu’il va effectuer un versement au 31 décembre 2023 et que d’autres versements suivront.</w:t>
      </w:r>
    </w:p>
    <w:p>
      <w:r>
        <w:rPr>
          <w:b/>
        </w:rPr>
        <w:t>E. 1.4.2</w:t>
      </w:r>
    </w:p>
    <w:p>
      <w:r>
        <w:t>En l’espèce, le recourant expose qu’il souffre de douleurs permanentes, ce qui le rend irritable, qu’il ne trouve pas de travail en raison de son état de santé et qu’il est un père qui désire voir ses enfants. Enfin, ses voyages réguliers lui permettent de « tenir le coup ». Ce faisant, il n’expose toutefois pas en quoi la décision serait fausse en fait ou en droit. Il n'expose pas non plus pour quels motifs l’OEP se serait trompé ni pour quelles raisons il devrait pouvoir bénéficier d’un régime alternatif à la détention. Ainsi, l’acte de recours ne comporte aucun moyen à l’appui de ses conclusions, dirigé contre les motifs ou le dispositif de l’ordonnance et qui, en se référant aux considérants de la décision attaquée, commanderait de rendre une autre décision. En particulier, le recourant n’invoque aucun élément factuel qui permettrait de démontrer qu’il serait éligible au régime de la semi-détention ou de la surveillance électronique. Le recours ne satisfait dès lors manifestement pas aux exigences de motivation de l’art. 385 al. 1 CPP, applicable à titre de droit cantonal supplétif (art. 38 LEP). En outre l’art. 385 al. 2 CPP ne permet pas de suppléer à cette carence. Par conséquent, le recours est irrecevable.</w:t>
      </w:r>
    </w:p>
    <w:p>
      <w:r>
        <w:t>- 7 -</w:t>
      </w:r>
    </w:p>
    <w:p>
      <w:r>
        <w:rPr>
          <w:b/>
        </w:rPr>
        <w:t>E. 2</w:t>
      </w:r>
    </w:p>
    <w:p>
      <w:r>
        <w:t>Par surabondance, même si le recours avait été recevable, il aurait dû de toute manière être rejeté. En effet, S.________ ne remplit pas les conditions d’octroi de la semi-détention, laquelle ne peut être accordée que s’il n’est pas à craindre que le condamné ne récidive (art. 4 al. 1 let. c RESE). Or le casier judiciaire de l’intéressé mentionne deux condamnations, une le 17 mars 2016 et l’autre le 4 octobre 2021, et il a fait l’objet de deux autres condamnations les 17 juillet 2003 et 17 novembre 2009, les infractions commises étant de même nature. En outre, une procédure est ouverte contre lui devant la Cour d’appel pénale du Tribunal cantonal pour conduite d’un véhicule automobile sans le permis de conduire requis au sens de la Loi fédérale sur la circulation routière, menaces, injure, ainsi que pour tentative de contrainte. C’est ainsi à bon droit que l’OEP en a déduit l’existence d’un risque de récidive incompatible avec l’octroi du régime de la surveillance électronique. Enfin, même si l’OEP ne l’a pas invoqué, l’art. 4 al. 1 let. f RESE impose au condamné qui souhaite bénéficier d’une surveillance électronique d’avoir une activité professionnelle ou analogue d’au moins 20 heures par semaine, ce dont le recourant ne peut justifier. C’est d’ailleurs ce motif qui a été avancé par l’OEP pour justifier le refus de l’octroi du régime de la semi-détention. Quant à ce dernier régime, c’est le lieu de rappeler que l’art. 5 al. 1 let. f RSD prévoit que pour y être éligible, le condamné doit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Or en l’espèce le recourant n’invoque pas que ces conditions seraient remplies, et n’indique pas avoir entrepris des démarches concrètes auprès d’Embellimesure. Il se contente d’affirmer que le marché du travail ne veut pas de lui, notamment en raison de problèmes de santé. Ce faisant, il admet qu’il ne remplit pas la condition précitée. C’est donc à juste titre que la semi-détention ne lui a pas été accordée. Enfin, comme l’a rappelé l’OEP au recourant, il lui est possible de payer sa peine pécuniaire en tout temps et même partiellement, ce qui diminuera proportionnellement la durée de sa peine, de sorte que si,</w:t>
      </w:r>
    </w:p>
    <w:p>
      <w:r>
        <w:t>- 8 - comme il l’a annoncé dans son recours, il a payé un acompte au 30 décembre 2023, la peine à exécuter sera réduite.</w:t>
      </w:r>
    </w:p>
    <w:p>
      <w:r>
        <w:rPr>
          <w:b/>
        </w:rPr>
        <w:t>E. 3</w:t>
      </w:r>
    </w:p>
    <w:p>
      <w:r>
        <w:t>Il résulte de ce qui précède que le recours doit être déclaré irrecevable, sans échange d’écritures (art. 390 al. 2 CPP). Les frais de la procédure de recours, constitués en l'espèce de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S.________. III. L’arrêt est exécutoire. La présidente : La greffière : Du Le présent arrêt, dont la rédaction a été approuvée à huis clos, est notifié, par l'envoi d'une copie complète, à : - M. S.________, - Ministère public central, et communiqué à : - Office d’exécution des peines,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