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AP23.016776 vom 12. September 2023</w:t>
      </w:r>
    </w:p>
    <w:p>
      <w:r>
        <w:t>VD Tribunal cantonal, 2023-09-12, FR</w:t>
      </w:r>
    </w:p>
    <w:p>
      <w:r>
        <w:rPr>
          <w:b/>
        </w:rPr>
        <w:t xml:space="preserve">Quelle: </w:t>
      </w:r>
      <w:r>
        <w:t>https://mcp.opencaselaw.ch/entscheid/vd_gerichte_AP23.016776</w:t>
      </w:r>
    </w:p>
    <w:p>
      <w:r>
        <w:t>FR: VD_GERICHTE AP23.016776 du 12 septembre 2023</w:t>
      </w:r>
    </w:p>
    <w:p>
      <w:r>
        <w:t>IT: VD_GERICHTE AP23.016776 del 12 settembre 2023</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ainsi qu’autoriser la personne condamnée à exécuter une peine privative de</w:t>
      </w:r>
    </w:p>
    <w:p>
      <w:r>
        <w:t>- 5 -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auprès de l'autorité compétente, par le condamné qui a qualité pour recourir (art. 382 al. 1 CPP). Il est donc recevable.</w:t>
      </w:r>
    </w:p>
    <w:p>
      <w:r>
        <w:rPr>
          <w:b/>
        </w:rPr>
        <w:t>E. 2.1</w:t>
      </w:r>
    </w:p>
    <w:p>
      <w:r>
        <w:t>Pour expliquer la raison pour laquelle il ne s’est pas présenté pour l’exécution de sa détention le 11 août 2022, le recourant invoque qu’il était au chômage à cette période-là et qu’il cherchait activement un emploi afin de pouvoir se réinsérer rapidement dans la vie active et purger sa peine sous un autre régime que la détention ferme, qui lui faisait très peur. Il allègue également avoir depuis entrepris des démarches pour réorganiser sa vie, notamment en trouvant un travail et en remplissant son rôle de père et de grand-père. Il déclare qu’il est abstinent depuis huit mois et que la perte de son emploi que pourrait entraîner son incarcération risquerait de le faire replonger dans la déliquescence, si bien qu’il s’engage à respecter toutes les mesures qui lui seraient imposées si le régime de la semi-détention devait lui être accordé.</w:t>
      </w:r>
    </w:p>
    <w:p>
      <w:r>
        <w:rPr>
          <w:b/>
        </w:rPr>
        <w:t>E. 2.2</w:t>
      </w:r>
    </w:p>
    <w:p>
      <w:r>
        <w:t>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 s'il n’y a pas lieu de</w:t>
      </w:r>
    </w:p>
    <w:p>
      <w:r>
        <w:t>- 6 -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En application du principe de la force dérogatoire du droit fédéral, les cantons ne peuvent pas soumettre le régime de la semi-détention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(let. f) et présenter des garanties quant au respect des conditions-cadre de la semi-détention et du règlement de l’établissement d’exécution (let. g). L’art. 7 RSD énumère les documents à remettre à l’appui de la demande, à savoir notamment, pour le travailleur salarié (employé), une attestation de l’employeur ou le contrat de travail, avec indication du lieu de travail et des heures de travail, ainsi qu’un décompte de salaire récent (let. a), et, pour le travailleur indépendant, un document attestant de l'activité indépendante (p. ex. décompte AVS, attestation</w:t>
      </w:r>
    </w:p>
    <w:p>
      <w:r>
        <w:t>- 7 - d'assurance sociale) avec indication du lieu de travail et des heures de travail (let. b).</w:t>
      </w:r>
    </w:p>
    <w:p>
      <w:r>
        <w:rPr>
          <w:b/>
        </w:rPr>
        <w:t>E. 2.3</w:t>
      </w:r>
    </w:p>
    <w:p>
      <w:r>
        <w:t>En l’espèce, l’OEP a donné l’opportunité au recourant de requérir d’être mis au bénéfice du régime de semi-détention dans sa décision du 5 octobre 2020. Le recourant n’a toutefois pas saisi cette opportunité. De surcroit, il s’est retrouvé sans domicile connu pour les autorités dans le courant des années 2021 et 2022, alors qu’il faisait l’objet d’une procédure pénale et qu’il devait entrer en détention, ce qui a contraint le Ministère public et l’OEP à le signaler au RIPOL. Le recourant s’était déjà retrouvé sans domicile connu pour l’OEP en 2020, lorsqu’il avait omis de signaler son changement de domicile. Le comportement d’G.________ fait craindre qu’il tente de se soustraire une nouvelle fois aux autorités en tombant dans la clandestinité, si bien que le risque de fuite retenu par l’autorité de première instance est avéré. Le fait que le recourant ait été prétendument concentré sur ses recherches d’emploi ne justifie pas son défaut le jour où il aurait dû entrer en détention ni son absence de communication avec les autorités. Il ressort du dossier que le recourant fait l’objet d’une nouvelle procédure pénale (PE20.018676-JMU). Bien qu’il convienne de lui faire bénéficier de la présomption d’innocence, cet élément n’est pas de bon augure lorsqu’il s’agit d’évaluer le risque de récidive qu’il pourrait présenter. Pour finir, le recourant ne produit aucun document à l’appui de sa demande et de son recours, que ce soit quant à son travail ou quant à sa situation familiale et aux charges qu’il assumerait dans ce cadre. Il est donc impossible de vérifier ses affirmations et d’évaluer si sa situation remplit les conditions pour bénéficier du régime de la semi-détention.</w:t>
      </w:r>
    </w:p>
    <w:p>
      <w:r>
        <w:rPr>
          <w:b/>
        </w:rPr>
        <w:t>E. 3</w:t>
      </w:r>
    </w:p>
    <w:p>
      <w:r>
        <w:t>En définitive, le recours, manifestement mal fondé, doit être rejeté sans échange d’écritures et la décision entreprise confirmée.</w:t>
      </w:r>
    </w:p>
    <w:p>
      <w:r>
        <w:t>- 8 - Vu l’issue de la cause, les frais de la procédure de recours, constitués du seul de l’émolument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21 juillet 2023 est confirmée. III. Les frais d’arrêt, par 770 fr. (sept cent septante francs), sont mis à la charge d’G.________. IV. L’arrêt est exécutoire. La présidente : Le greffier : Du Le présent arrêt, dont la rédaction a été approuvée à huis clos, est notifié, par l'envoi d'une copie complète, à : - G.________, - Ministère public central, et communiqué à : - Office d’exécution des peines,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