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AP23.010680 vom 8. August 2023</w:t>
      </w:r>
    </w:p>
    <w:p>
      <w:r>
        <w:t>VD Tribunal cantonal, 2023-08-08, FR</w:t>
      </w:r>
    </w:p>
    <w:p>
      <w:r>
        <w:rPr>
          <w:b/>
        </w:rPr>
        <w:t xml:space="preserve">Quelle: </w:t>
      </w:r>
      <w:r>
        <w:t>https://mcp.opencaselaw.ch/entscheid/vd_gerichte_AP23.010680</w:t>
      </w:r>
    </w:p>
    <w:p>
      <w:r>
        <w:t>FR: VD_GERICHTE AP23.010680 du 8 août 2023</w:t>
      </w:r>
    </w:p>
    <w:p>
      <w:r>
        <w:t>IT: VD_GERICHTE AP23.010680 del 8 agosto 2023</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1.1.2</w:t>
      </w:r>
    </w:p>
    <w:p>
      <w:r>
        <w:t>; TF 6B_626/2008 du 11 novembre 2008 consid. 6.1). La règle de conduite de l’art. 94 CP ordonnant un suivi médical régulier (par exemple un contrôle d’urine) se différencie d’un traitement ambulatoire selon l’art. 63 CP sur plusieurs points ; en particulier, elle n’exige pas que le condamné souffre d’un grave trouble mental, soit toxicomane dépendant ou souffre d’une autre addiction ; il ne peut être affecté par l’un de ces</w:t>
      </w:r>
    </w:p>
    <w:p>
      <w:r>
        <w:t>- 9 - troubles qu’à un faible degré (TF 6B_1339/2016 du 23 mars 2017 consid. 1.1.2).</w:t>
      </w:r>
    </w:p>
    <w:p>
      <w:r>
        <w:rPr>
          <w:b/>
        </w:rPr>
        <w:t>E. 1.2</w:t>
      </w:r>
    </w:p>
    <w:p>
      <w:r>
        <w:t>En l’espèce, interjeté en temps utile, auprès de l’autorité compétente, dans les formes prescrites (art. 385 al. 1 CPP) et par le condamné qui a qualité pour recourir (art. 382 al. 1 CPP), le recours est recevable.</w:t>
      </w:r>
    </w:p>
    <w:p>
      <w:r>
        <w:rPr>
          <w:b/>
        </w:rPr>
        <w:t>E. 2.1</w:t>
      </w:r>
    </w:p>
    <w:p>
      <w:r>
        <w:t>Le recourant soutient que l’autorité de première instance a accordé une importance prépondérante, voire exclusive, à ses antécédents, sans procéder à une appréciation globale comme l’exige la jurisprudence, notamment en ce qui concerne sa situation personnelle et professionnelle. Il fait valoir qu’il a fait preuve d’évolution et d’amendement, qu’il a eu une prise de conscience, que la dernière inscription à son casier judiciaire remonte à 2017, qu’il n’a jamais porté</w:t>
      </w:r>
    </w:p>
    <w:p>
      <w:r>
        <w:t>- 6 - atteinte à l’intégrité corporelle d’un individu, que la majorité des infractions commises étaient patrimoniales, qu’il n’a commis aucune infraction durant le délai d’épreuve de sa libération conditionnelle de 2018 et qu’il n’a pas récidivé pendant le régime actuel de la semi-détention. Il s’étonne par ailleurs de l’avis négatif de l’OEP, dès lors que l’une des conditions de l’octroi du régime de la semi-détention est précisément l’absence de risque de récidive. Le recourant relève en outre qu’il a indiqué au premier juge qu’il voulait continuer à travailler après sa libération, qu’il se rendait à son travail en transports publics, qu’il n’était plus influençable ni prêt à prendre le volant pour faire de courtes distances, qu’il avait appris à travailler sur ses points faibles, qu’il avait aujourd’hui la crainte des sanctions, qu’il n’avait plus l’intention de toucher aux stupéfiants ni de consommer de l’alcool, qu’il pouvait compter sur ses parents, son ex-femme et un ou deux amis assez proches pour le soutenir et qu’il ne se trouvait donc plus dans la même situation qu’auparavant. Enfin, le recourant considère que la décision contestée apparaît disproportionnée compte tenu de la courte peine qu’il lui reste à purger, d’autant que la possibilité que la libération conditionnelle puisse être assortie d’une règle de conduite n’a pas été examinée.</w:t>
      </w:r>
    </w:p>
    <w:p>
      <w:r>
        <w:rPr>
          <w:b/>
        </w:rPr>
        <w:t>E. 2.2.1</w:t>
      </w:r>
    </w:p>
    <w:p>
      <w:r>
        <w:t>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w:t>
      </w:r>
    </w:p>
    <w:p>
      <w:r>
        <w:t>- 7 -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w:t>
      </w:r>
    </w:p>
    <w:p>
      <w:r>
        <w:rPr>
          <w:b/>
        </w:rPr>
        <w:t>E. 2.2.2</w:t>
      </w:r>
    </w:p>
    <w:p>
      <w:r>
        <w:t>Aux termes de l’art. 87 CP, il est imparti au détenu libéré conditionnellement un délai d’épreuve égal à la durée du solde de sa peine. Ce délai est toutefois d’un an au moins et de cinq ans au plus (al. 1). L’autorité d’exécution ordonne, en règle générale, une assistance de probation pour la durée du délai d’épreuve. Elle peut imposer des règles de conduite (al. 2).</w:t>
      </w:r>
    </w:p>
    <w:p>
      <w:r>
        <w:t>- 8 - Les règles de conduite sont régies par l’art. 94 CP, qui dispose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 ATF 108 IV 152 consid. 3a ; ATF 106 IV 325 consid. 1 et les arrêts cités). Le choix et le contenu de la règle de conduite doivent s'inspirer de considérations pédagogiques, sociologiques et médicales (ATF 107 IV 88 consid. 3a).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La loi prévoit expressément que la règle de conduite peut porter sur des soins médicaux ou psychiques. Il est admis en pratique que la règle de conduite peut obliger le condamné à se soumettre à un traitement psychiatrique ou à des contrôles médicaux réguliers (par exemple des contrôles d'urine) (TF 6B_1339/2016 du 23 mars 2017 consid.</w:t>
      </w:r>
    </w:p>
    <w:p>
      <w:r>
        <w:rPr>
          <w:b/>
        </w:rPr>
        <w:t>E. 2.2.3</w:t>
      </w:r>
    </w:p>
    <w:p>
      <w:r>
        <w:t>Afin de procéder à un pronostic différentiel, il sied de comparer les avantages et désavantages de l'exécution de la peine avec la libération conditionnelle (ATF 124 IV 193 consid. 4a et 5b/bb ; TF 6B_525/2021 précité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désamorcer celui-ci, que l’exécution complète de la peine n’offrirait pas, et dont on se priverait en y procédant (ATF 124 IV 193 consid. 4d/bb in initio).</w:t>
      </w:r>
    </w:p>
    <w:p>
      <w:r>
        <w:rPr>
          <w:b/>
        </w:rPr>
        <w:t>E. 2.3</w:t>
      </w:r>
    </w:p>
    <w:p>
      <w:r>
        <w:t>En l’espèce, il convient tout d’abord de relever que la dernière condamnation du recourant, respectivement la dernière inscription à son casier judiciaire suisse ne remonte pas à 2017 comme il l’allègue, mais au 26 mars 2021, objet de l’actuelle exécution de peine sous la forme de la semi-détention, pour des infractions commises entre décembre 2020 et le 1er février 2021 (P. 3/1). On constate ensuite, à l’instar de l’autorité intimée, que les déclarations du recourant sont exactement les mêmes que celles formulées pour obtenir les libérations conditionnelles de 2014 et 2018 : il a déjà dit qu’il voulait faire ses preuves et qu’il avait pris conscience de la gravité de ses actes (P. 5, p. 9, 3e par. ; ordonnance du 4 septembre 2014) et le Juge d’application des peines a déjà relevé que le condamné semblait</w:t>
      </w:r>
    </w:p>
    <w:p>
      <w:r>
        <w:t>- 10 - conscient de ses fautes et que son discours attestait d’un travail introspectif qui apparaissait sincère et d’un amendement certain par rapport à son parcours pénal (P. 6, p. 4, 3e par. ; ordonnance du 12 février 2018). Le recourant a manifestement compris quel discours il devait tenir afin d’augmenter ses chances d’obtenir la libération conditionnelle. Cela dit, il est vrai que le premier juge s’est principalement fondé sur les antécédents du recourant et ses récurrentes promesses non tenues de ne plus adopter de comportement pénalement répréhensible, alors qu’il aurait aussi dû examiner notamment sa situation personnelle et professionnelle et ainsi procéder à une appréciation globale de la situation. Or, objectivement, le recourant dispose d’un logement à Lausanne, exerce une activité lucrative dans cette localité, peut se rendre à son lieu de travail en transports publics et peut compter sur le soutien de sa famille (parents et ex-épouse). En outre, les six tests effectués du 22 avril au 8 mai 2023 se sont révélés négatifs à l’alcool et/ou aux produits stupéfiants. Même si tout risque ne peut être écarté, cela suffit pour retenir que le pronostic quant au comportement futur du recourant n’est pas défavorable. Par conséquent, il convient d’ordonner la libération conditionnelle de X.________ et de lui impartir un délai d’épreuve (minimum) d’une année (cf. art. 87 al. 1 CP). Vu que les dernières infractions commises par le recourant sont liées à la possession et à la consommation de cocaïne, couplées à deux infractions à la LCR (conduite d’un véhicule automobile alors qu’il était sous le coup d’un retrait de permis et dépassement de vitesse), la liberté conditionnelle sera subordonnée à la mise en œuvre d’une règle de conduite – à laquelle le recourant ne s’oppose pas (cf. recours, p. 10, par. 2) et dont l’OEP décidera des modalités – sous la forme de contrôles réguliers d’abstinence à l’alcool et aux produits stupéfiants. En outre, sous l’angle du pronostic différentiel, cette règle de conduite ordonnée sur une durée d’une année offrira plus d’avantages que l’exécution par le recourant du solde de sa peine privative de liberté jusqu’au 24 septembre 2023 : elle permettra en effet non seulement au recourant de prouver qu’il</w:t>
      </w:r>
    </w:p>
    <w:p>
      <w:r>
        <w:t>- 11 - peut faire preuve d’un amendement durable et concret, mais aussi de garantir la sécurité des usagers de la route pour autant que possible.</w:t>
      </w:r>
    </w:p>
    <w:p>
      <w:r>
        <w:rPr>
          <w:b/>
        </w:rPr>
        <w:t>E. 3</w:t>
      </w:r>
    </w:p>
    <w:p>
      <w:r>
        <w:t>Il résulte de ce qui précède que le recours doit être admis et l’ordonnance entreprise réformée en ce sens que la libération conditionnelle est accordée au recourant, que le délai d’épreuve est fixé à une année et qu’une règle de conduite sous forme de contrôles réguliers d’abstinence à l’alcool et aux produits stupéfiants est ordonnée, à charge pour l’OEP de les mettre en œuvre. Les frais de la procédure de recours sont fixés à 1'210 fr. (art. 20 al. 1 TFIP [tarif des frais de procédure et indemnités en matière pénale du 28 septembre 2010 ; BLV 312.03.1]). Le recourant, qui a procédé avec l’assistance d’un avocat de choix, a droit à une indemnité pour les dépenses occasionnées par la procédure de recours. Cette indemnité sera fixée à 1'050 fr., sur la base de 3h30 d’activité nécessaire d’avocat au tarif horaire de 300 fr. (art. 26a al. 3 TFIP), à laquelle s’ajoutent 2 % pour les débours (art. 19 al. 2 TDC [tarif des dépens en matière civile du 23 novembre 2010 ; BLV 270.11.6] par renvoi de l'art. 26a al. 6 TFIP), soit 21 fr., et 7,7 % de TVA sur le tout, soit 82 fr. 45, ce qui correspond à la somme totale de 1'154 fr. en chiffres arrondis. Les frais de la procédure de recours et l’indemnité allouée au recourant seront laissés à la charge de l’Etat (art. 423 al. 1 et 428 al. 4 CPP). Par ces motifs, la Chambre des recours pénale prononce : I. Le recours est admis. II. L’ordonnance du 10 juillet 2023 est réformée au chiffre I de son dispositif comme il suit :</w:t>
      </w:r>
    </w:p>
    <w:p>
      <w:r>
        <w:t>- 12 - « I. Accorde la libération conditionnelle à X.________ avec effet immédiat. Ibis. Fixe la durée du délai d’épreuve à un an. Iter. Ordonne, pour la durée du délai d’épreuve, une règle de conduite à forme de contrôles réguliers d’abstinence à l’alcool et aux produits stupéfiants, à charge pour l’Office d’exécution des peines de les mettre en œuvre. » L’ordonnance est confirmée pour le surplus. III. Les frais de la procédure de recours, par 1'210 fr. (mille deux cent dix francs), sont laissés à la charge de l’Etat. IV. Une indemnité de 1'154 fr. (mille cent cinquante-quatre francs) est allouée à X.________ pour la procédure de recours, à la charge de l’Etat. V. L’arrêt est exécutoire. La présidente : La greffière : Du Le présent arrêt, dont la rédaction a été approuvée à huis clos, est notifié, par l'envoi d'une copie complète, à : - Me Jean-Christophe Oberson, avocat (pour X.________) (et par efax), - Ministère public central (et par efax),</w:t>
      </w:r>
    </w:p>
    <w:p>
      <w:r>
        <w:t>- 13 - et communiqué à : - Mme la Juge d’application des peines (et par efax), - M. le Procureur du Ministère public de l’arrondissement de Lausanne (et par efax), - Office d’exécution des peines (OEP/SMO/71724/BD/ASI) (et par efax), - Direction de la prison du Bois-Mermet (et par efax),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