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AP23.005919 vom 15. Mai 2023</w:t>
      </w:r>
    </w:p>
    <w:p>
      <w:r>
        <w:t>VD Tribunal cantonal, 2023-05-15, FR</w:t>
      </w:r>
    </w:p>
    <w:p>
      <w:r>
        <w:rPr>
          <w:b/>
        </w:rPr>
        <w:t xml:space="preserve">Quelle: </w:t>
      </w:r>
      <w:r>
        <w:t>https://mcp.opencaselaw.ch/entscheid/vd_gerichte_AP23.005919</w:t>
      </w:r>
    </w:p>
    <w:p>
      <w:r>
        <w:t>FR: VD_GERICHTE AP23.005919 du 15 mai 2023</w:t>
      </w:r>
    </w:p>
    <w:p>
      <w:r>
        <w:t>IT: VD_GERICHTE AP23.005919 del 15 maggio 2023</w:t>
      </w:r>
    </w:p>
    <w:p>
      <w:pPr>
        <w:pStyle w:val="Heading2"/>
      </w:pPr>
      <w:r>
        <w:t>Erwägungen</w:t>
      </w:r>
    </w:p>
    <w:p>
      <w:r>
        <w:rPr>
          <w:b/>
        </w:rPr>
        <w:t>E. 1.1</w:t>
      </w:r>
    </w:p>
    <w:p>
      <w:r>
        <w:t>En vertu de l’art. 38 al. 1 LEP (loi vaudoise sur l'exécution des condamnations pénales du 4 juillet 2006 ; BLV 340.01), les décisions rendues par le Juge d'application des peines et par le Collège des Juges d'application des peines peuvent faire l'objet d'un recours auprès du</w:t>
      </w:r>
    </w:p>
    <w:p>
      <w:r>
        <w:t>- 5 -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w:t>
      </w:r>
    </w:p>
    <w:p>
      <w:r>
        <w:rPr>
          <w:b/>
        </w:rPr>
        <w:t>E. 1.2</w:t>
      </w:r>
    </w:p>
    <w:p>
      <w:r>
        <w:t>En l’espèce, le recours a été interjeté en temps utile devant l’autorité compétente.</w:t>
      </w:r>
    </w:p>
    <w:p>
      <w:r>
        <w:t>- 6 -</w:t>
      </w:r>
    </w:p>
    <w:p>
      <w:r>
        <w:rPr>
          <w:b/>
        </w:rPr>
        <w:t>E. 2.1.1</w:t>
      </w:r>
    </w:p>
    <w:p>
      <w:r>
        <w:t>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(CREP 21 juin 2019/506 consid. 2.1 ; CREP 2018/956 consid. 2.1 ; CREP 19 janvier 2016/31 consid. 1.2 et réf. cit.). Une partie qui n’est pas concrètement lésée par la décision ne possède donc pas la qualité pour recourir et son recours est irrecevable (ATF 144 IV 81 consid. 2.3.1). Par ailleurs, le recourant doit avoir un intérêt actuel et pratique au recours, respectivement à l’examen des griefs soulevés (TF 6B_112/2022 du 10 novembre 2022 consid. 1.2 et les références citées).</w:t>
      </w:r>
    </w:p>
    <w:p>
      <w:r>
        <w:rPr>
          <w:b/>
        </w:rPr>
        <w:t>E. 2.1.2</w:t>
      </w:r>
    </w:p>
    <w:p>
      <w:r>
        <w:t>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Basler Kommentar, Schweizerische Strafprozessordnung, Jugend- strafprozessordnung, 2e éd., Bâle 2014, n. 1a ad art. 385 CPP).</w:t>
      </w:r>
    </w:p>
    <w:p>
      <w:r>
        <w:t>- 7 -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 ; Lieber, Kommentar zur Schweizerischen Strafprozessordnung, 3e éd., 2020, n. 2 ad art. 385 CPP). Ainsi, il doit indiquer dans quelle mesure et sous quel angle il entend critiquer l’établissement des faits ou l’application du droit (Calame, Commentaire romand, Code de procédure pénale suisse, 2e éd., Bâle 2019, n. 20 ad art. 385 CPP).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Ainsi, l’art. 385 al. 2 CPP, qui concrétise l'interdiction, pour les autorités, du formalisme excessif, ne s'applique pas aux requêtes formées par une partie qui connaît les exigences de forme et ne les respecte toutefois pas, sans quoi il serait possible de contourner la règle selon laquelle les délais fixés par la loi ne peuvent être prolongés (art. 89 al. 1 CPP) (TF TF 6B_1447/2022 du 14 mars 2023 consid. 1.1 ; TF 1B_318/2021 du 25 janvier 2022 consid. 4.1 et les réf. cit. ; TF 6B_609/2021 du 19 juillet 2021 consid. 2.4 ; TF 6B_510/2020 du 15 septembre 2020 consid. 2.2 ; CREP 7 octobre 2022/740 consid. 1.2.2 ; CREP 17 août 2022/617).</w:t>
      </w:r>
    </w:p>
    <w:p>
      <w:r>
        <w:rPr>
          <w:b/>
        </w:rPr>
        <w:t>E. 2.1.3</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- 8 - La libération conditionnelle est la dernière étape du système progressif d’exécution des peines privatives de liberté, précédant la libération définitive. Il s’agit d’une véritable modalité d’exécution de la peine, et non d’un droit, d’une faveur ou d’un acte de clémence ou de grâce que le condamné pourrait accepter ou refuser à son gré. Il s’ensuit que le condamné ne peut pas invoquer un intérêt juridiquement protégé pour contester la libération conditionnelle accordée conformément à la loi (CREP 18 mai 2021/450 consid. 2.2.2; CREP 20 novembre 2017/794 consid. 1.4 ; CREP 19 janvier 2016/31 précité consid. 1.4 et les références citées). Les autorités pénales ne peuvent que prendre acte de l’existence d’une décision administrative définitive sur la question du statut juridique du recourant en Suisse (TF 6B_40/2015 du 5 février 2015 consid. 3.3 ; CREP 2 novembre 2020/849 consid. 2.2 et les réf. citées).</w:t>
      </w:r>
    </w:p>
    <w:p>
      <w:r>
        <w:rPr>
          <w:b/>
        </w:rPr>
        <w:t>E. 2.2</w:t>
      </w:r>
    </w:p>
    <w:p>
      <w:r>
        <w:t>En l’espèce, le recourant conclut au refus de la libération conditionnelle. Il explique vouloir « finir sa peine à 100% » et relève que son comportement en détention est très mauvais puisqu’il a été condamné à 4 jours d’arrêts disciplinaires. Cependant, dès lors que sa libération conditionnelle est prononcée, il n’a pas d’intérêt pratique et actuel au recours. On ne voit en outre pas en quoi l’ordonnance attaquée procèderait d’une fausse application de l'art. 86 al. 1 CP (Code pénal suisse du 21 décembre 1937 ; RS 311.0), et le recourant ne le fait du reste pas valoir précisément, se contentant d’affirmer – paradoxalement – que son comportement en détention s’oppose à sa libération conditionnelle. En particulier, sur la question de la date à laquelle son renvoi de Suisse pourra être mis en œuvre, le recours ne contient aucune motivation topique. A supposer que le recourant ai un intérêt juridiquement protégé à contester cette condition, il faudrait ainsi constater qu’il ne développe pas d’argument pour la contester et que, sur ce point, son recours serait irrecevable en application de l’art. 385 CPP. Au demeurant, précisément, se Dans ces conditions, le recourant ne dispose pas d’un intérêt juridiquement protégé au recours, ni n’expose de moyens recevables pour</w:t>
      </w:r>
    </w:p>
    <w:p>
      <w:r>
        <w:t>- 9 - contester les motifs fondant l’ordonnance entreprise (art. 382 al. 1 et 385 al. 1 CPP). Son recours est donc irrecevable.</w:t>
      </w:r>
    </w:p>
    <w:p>
      <w:r>
        <w:rPr>
          <w:b/>
        </w:rPr>
        <w:t>E. 3</w:t>
      </w:r>
    </w:p>
    <w:p>
      <w:r>
        <w:t>Au vu de ce qui précède, le recours, manifestement irrecevable, doit être écarté sans échange d’écritures (art. 390 al. 2 CPP).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880 fr. (huit cent huitante francs), sont mis à la charge de E.________. III. L’arrêt est exécutoire. La présidente : La greffière : Du Le présent arrêt, dont la rédaction a été approuvée à huis clos, est notifié, par l'envoi d'une copie complète, à : - M. E.________, - Ministère public central,</w:t>
      </w:r>
    </w:p>
    <w:p>
      <w:r>
        <w:t>- 10 - et communiqué à : - Mme la Juge d’application des peines, M. le Procureur de l’arrondissement du Nord vaudois, - Office d’exécution des peines (réf. : OEP/CPPL/161911/MBR/BD), - Direction de la prison cantonale de Gmünden, - Service de la population (11.06.1986),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