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AP23.000686 vom 16. Januar 2023</w:t>
      </w:r>
    </w:p>
    <w:p>
      <w:r>
        <w:t>VD Tribunal cantonal, 2023-01-16, FR</w:t>
      </w:r>
    </w:p>
    <w:p>
      <w:r>
        <w:rPr>
          <w:b/>
        </w:rPr>
        <w:t xml:space="preserve">Quelle: </w:t>
      </w:r>
      <w:r>
        <w:t>https://mcp.opencaselaw.ch/entscheid/vd_gerichte_AP23.000686</w:t>
      </w:r>
    </w:p>
    <w:p>
      <w:r>
        <w:t>FR: VD_GERICHTE AP23.000686 du 16 janvier 2023</w:t>
      </w:r>
    </w:p>
    <w:p>
      <w:r>
        <w:t>IT: VD_GERICHTE AP23.000686 del 16 gennaio 2023</w:t>
      </w:r>
    </w:p>
    <w:p>
      <w:pPr>
        <w:pStyle w:val="Heading2"/>
      </w:pPr>
      <w:r>
        <w:t>Volltext</w:t>
      </w:r>
    </w:p>
    <w:p>
      <w:r>
        <w:t>TRIBUNAL CANTONAL 56 LAU/01/22/0004194/isd CHAMBRE DE S RECO URS PEN ALE __________________________________________ Arrêt du 16 janvier 2023 __________________ Composition : M. MAILLARD, juge unique Greffière : Mme Japona-Mirus ***** Art. 205 al. 1 et 355 al. 2 CPP Statuant sur le recours interjeté le 6 janvier 2023 par C.________ contre la décision rendue le 21 décembre 2022 par la Préfecture du district de Lausanne dans la cause n° LAU/01/22/0004194/isd, le Juge unique de la Chambre des recours pénale considère : En fait : A. a) Par ordonnance pénale du 28 septembre 2022, la Préfecture du district de Lausanne a constaté que C.________ s’était rendue coupable d’infraction simple à la loi fédérale sur la circulation routière, l’a condamnée à une amende de 250 fr., convertible en 3 jours de peine privative de liberté de substitution en cas de non-paiement fautif de 352</w:t>
      </w:r>
    </w:p>
    <w:p>
      <w:r>
        <w:t>- 2 - l’amende, et a mis les frais de cette ordonnance, par 60 fr., à sa charge, pour avoir utilisé abusivement, le 10 mai 2022, à 12h20, au chemin [...], à Lausanne, une autorisation pour personne handicapée, au volant du véhicule VD [...]. Le 17 octobre 2022, C.________ a formé opposition contre cette ordonnance pénale. b) Par mandat du 4 novembre 2022, C.________ a été citée à comparaître personnellement à l’audience du 5 décembre 2022, à 15h30, à la Préfecture de Lausanne, pour être entendue comme prévenue. Par courriel du 14 novembre 2022, faisant suite à la requête de C.________, la Préfecture du district de Lausanne a reporté l’audience du 5 décembre 2022 et a informé la prénommée qu’un nouveau mandat de comparution lui serait adressé prochainement. c) Par mandat du 16 novembre 2022, adressé sous pli recommandé, C.________ a été citée à comparaître personnellement à l’audience du 19 décembre 2022, à 14h30, à la Préfecture du district de Lausanne, pour être entendue comme prévenue. Ce pli est venu en retour avec la mention « non réclamé ». d) Par courrier du 29 novembre 2022, adressé sous pli simple, la Préfecture du district de Lausanne a envoyé à C.________ une copie du mandat de comparution du 16 novembre 2022, en l’informant que les envois non retirés étaient considérés comme distribués le dernier jour du délai de garde et que ce courrier ne faisait pas courir un nouveau délai. B. Par décision du 21 décembre 2022, le Préfet du district de Lausanne, constatant que C.________ ne s’était pas présentée à l’audience du 19 décembre 2022, alors qu’elle avait été citée à comparaître par courrier recommandé du 16 novembre 2022, et considérant qu’elle était ainsi réputée avoir retiré son opposition en application de l’art. 355 al. 2 CPP (Code de procédure pénale suisse du 5 octobre 2007 ; RS 312.0), a</w:t>
      </w:r>
    </w:p>
    <w:p>
      <w:r>
        <w:t>- 3 - maintenu l’ordonnance pénale du 28 septembre 2022 et a déclaré celle-ci définitive et exécutoire. C. Par acte daté du 4 janvier 2023, déposé le 6 janvier 2023, C.________ a recouru auprès de la Chambre des recours pénale contre cette décision. Le 18 janvier 2023, le Ministère public central, division affaires spéciales, a déclaré renoncer à déposer des déterminations et s’en remettre entièrement à l’appréciation de la Chambre des recours pénale. Dans ses déterminations du 25 janvier 2023, le Préfet du district de Lausanne a implicitement conclu au rejet du recours interjeté par C.________. En d roit : 1. 1.1 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Interjeté dans le délai légal, par la prévenue qui a qualité pour recourir (art. 382 al. 1 CPP) et dans les formes prescrites (art. 385 al. 1 CPP), le recours est recevable.</w:t>
      </w:r>
    </w:p>
    <w:p>
      <w:r>
        <w:t>- 4 - 1.2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Dès lors que la présente procédure ne porte que sur une contravention, la cause relève de la compétence d'un membre de la Chambre des recours pénale qui statue en tant que juge unique (art. 13 al. 2 LVCPP). 2. 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TF 6B_667/2021 du 4 juillet 2022 consid. 2.1 ; 6B_1511/2021 du 9 février 2022 consid. 6 ;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w:t>
      </w:r>
    </w:p>
    <w:p>
      <w:r>
        <w:t>- 5 - 3.5).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142 IV 158 consid. 3.1 et 3.4 ;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142 IV 158 consid. 3.1 ss ; 140 IV 82 consid. 2.3 et 2.5 ; TF 6B_600/2022 du 17 août 2022 consid. 1.3 ;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2.2 En l’espèce, la citation à comparaître comportant l’indication des conséquences en cas de défaut, adressée à la recourante le 16 novembre 2022 sous pli recommandé, est venu en retour avec la mention « non réclamé ». Certes, ce pli a été adressé à nouveau à la recourante sous pli simple. Toutefois, on ignore si celle-ci l’a reçu. Elle ne l’admet d'ailleurs pas expressément dans son recours. On ne peut donc pas retenir</w:t>
      </w:r>
    </w:p>
    <w:p>
      <w:r>
        <w:t>- 6 - que la recourante a eu une connaissance effective de la convocation, ni des conséquences d’un défaut non excusé. Il en découle que le préfet ne pouvait pas considérer que l’opposition de la recourante était réputée retirée. Le dossier de la cause doit donc lui être renvoyé pour qu’il procède selon l’art. 355 CPP. 3. En définitive, le recours doit être admis, l’ordonnance attaquée annulée et le dossier de la cause renvoyé au Préfet du district de Lausanne pour qu’il procède dans le sens des considérants. Les frais de la procédure de recours, constitués en l'espèce du seul émolument d'arrêt, par 540 fr. (art. 20 al. 1 TFIP [Tarif des frais de procédure et indemnités en matière pénale du 28 septembre 2010 ; BLV 312.03.1]), seront laissés à la charge de l'Etat (art. 428 al. 4 CPP). Par ces motifs, le juge unique prononce : I. Le recours est admis. II. La décision du 21 décembre 2022 est annulée. III. Le dossier de la cause est renvoyé au Préfet du district de Lausanne pour qu’il procède dans le sens des considérants. IV. Les frais d’arrêt, par 540 fr. (cinq cent quarante francs), sont laissés à la charge de l’Etat. V. L’arrêt est exécutoire. Le juge unique : La greffière :</w:t>
      </w:r>
    </w:p>
    <w:p>
      <w:r>
        <w:t>- 7 - Du Le présent arrêt, dont la rédaction a été approuvée à huis clos, est notifié, par l'envoi d'une copie complète, à : - Mme C.________, - Ministère public central, et communiqué à : - M. le Préfet du district de Lausanne,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