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AP23.000588 vom 26. Januar 2023</w:t>
      </w:r>
    </w:p>
    <w:p>
      <w:r>
        <w:t>VD Tribunal cantonal, 2023-01-26, FR</w:t>
      </w:r>
    </w:p>
    <w:p>
      <w:r>
        <w:rPr>
          <w:b/>
        </w:rPr>
        <w:t xml:space="preserve">Quelle: </w:t>
      </w:r>
      <w:r>
        <w:t>https://mcp.opencaselaw.ch/entscheid/vd_gerichte_AP23.000588</w:t>
      </w:r>
    </w:p>
    <w:p>
      <w:r>
        <w:t>FR: VD_GERICHTE AP23.000588 du 26 janvier 2023</w:t>
      </w:r>
    </w:p>
    <w:p>
      <w:r>
        <w:t>IT: VD_GERICHTE AP23.000588 del 26 gennaio 2023</w:t>
      </w:r>
    </w:p>
    <w:p>
      <w:pPr>
        <w:pStyle w:val="Heading2"/>
      </w:pPr>
      <w:r>
        <w:t>Erwägungen</w:t>
      </w:r>
    </w:p>
    <w:p>
      <w:r>
        <w:rPr>
          <w:b/>
        </w:rPr>
        <w:t>E. 6.1</w:t>
      </w:r>
    </w:p>
    <w:p>
      <w:r>
        <w:t>Le recourant soutient que la décision de l’OEP ne reposerait sur aucune base légale et invoque la violation de plusieurs de ses droits fondamentaux (dignité humaine, procès équitable, interdiction de l’arbitraire, présomption d’innocence et liberté d’opinion notamment) ainsi que d’un catalogue de normes, parmi lesquelles la recommandation du Comité des Ministres aux Etats membres sur les règles pénitentiaires européennes, les art. 75 CP (Code pénal suisse du 21 décembre 1937 ; RS 311.0), 18 al. 1 C-EPMCL (Concordat 10 avril 2006 sur l’exécution des peines privatives de liberté et des mesures concernant les adultes et les jeunes adultes dans les cantons latins ; BLV 340.93) et des dispositions du règlement du 16 août 2017 sur le statut des personnes condamnées exécutant une peine privative de liberté ou une mesure (RSPC ; BLV 340.01.1) (cf. recours, pp. 9 à 11). Dans une motivation peu claire et contradictoire, le recourant se plaint pêle-mêle du fait qu’un plan d’exécution de la sanction (ci-après :</w:t>
      </w:r>
    </w:p>
    <w:p>
      <w:r>
        <w:t>- 10 - PES) n’aurait pas été établi, que la possibilité d’exécuter sa peine privative de liberté sous la forme d’une surveillance électronique serait retardée de plusieurs mois à cause de l’épidémie de Covid-19, que ce retard engendrerait « une prolongation artificielle » de sa détention, que la progression de son PES l’empêcherait d’obtenir le régime de la surveillance électronique avant sa libération conditionnelle, qu’il lui serait impossible d’obtenir la surveillance électronique avant son entrée en détention alors que « la durée prévue pour obtenir la surveillance électronique correspond[rait] exactement à la période nécessaire à l’examen de la demande », qu’il serait privé de la possibilité de démontrer sa capacité de s’adapter à la vie en société, qu’il aurait respecté les conditions du PES, qu’il n’aurait pas pu participer activement à l’élaboration de son PES et que celui-ci devrait prévoir la possibilité de bénéficier du régime de la surveillance électronique. Le recourant allègue également qu’il n’aurait en aucun cas « refusé d’obtempérer aux injonctions des agents », que la décision litigieuse ne se fonderait sur aucune preuve, que « les faits reprochés » seraient de peu de gravité et que le fait d’avoir fait l’objet d’une condamnation ne supprimerait pas le droit à une surveillance électronique. Il conteste enfin l’existence de « forts soupçons ».</w:t>
      </w:r>
    </w:p>
    <w:p>
      <w:r>
        <w:rPr>
          <w:b/>
        </w:rPr>
        <w:t>E. 6.2.1</w:t>
      </w:r>
    </w:p>
    <w:p>
      <w:r>
        <w:t>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(cf. art. 77a CP), pour une durée de trois à douze mois (let. b). Selon l'art. 79b al. 2 CP, l'autorité compétente – qui est, dans le canton de Vaud, l'OEP (art. 20 al. 2 let. a LEP) – ne peut ordonner la surveillance électronique que s'il n'y a pas lieu de craindre que le condamné s'enfuie ou commette d'autres infractions (let. a), si le condamné dispose d'un logement fixe (let. b), si le condamné exerce une</w:t>
      </w:r>
    </w:p>
    <w:p>
      <w:r>
        <w:t>- 11 -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rPr>
          <w:b/>
        </w:rPr>
        <w:t>E. 6.2.2</w:t>
      </w:r>
    </w:p>
    <w:p>
      <w:r>
        <w:t>En droit cantonal, les conditions de ce mode d’exécution font l’objet du règlement concordataire sur l'exécution des peines privatives de liberté sous surveillance électronique du 20 décembre 2017 (RESE ; BLV 340.95.5), qui précise les conditions découlant du droit fédéral. Selon l’art. 2 al. 1 RESE, la surveillance électronique est admissible à condition que la peine prononcée ou la durée totale des peines exécutables simultanément soit comprise entre 20 jours au minimum et 12 mois au maximum. En outre, selon l’art. 4 al. 1 RESE, les conditions suivantes doivent être remplies pour bénéficier de la surveillance électronique : une demande de la personne condamnée (let. a) ; pas de crainte qu'elle s'enfuie (let. b) ; pas de crainte qu'elle commette d'autres infractions (let. c) ; une autorisation de séjour en Suisse et le droit de travailler, de suivre une formation ou d'exercer une activité au sens de la lettre f 2e phrase (let. d) ; pas d'expulsion en vertu des art. 66a et 66abis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 des garanties quant au respect des conditions-cadre de la semi-détention et du règlement de l'établissement d'exécution (let. g) ;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(let. h) ; le logement fixe est équipé d'un réseau de téléphonie fixe ou mobile pour la transmission électronique des données (let. i) ; le consentement des personnes adultes vivant sous le</w:t>
      </w:r>
    </w:p>
    <w:p>
      <w:r>
        <w:t>- 12 - même toit et leur accord pour que l'autorité d'exécution compétente puisse accéder en tout temps au logement, aussi sans annonce préalable, pendant la durée de l'EM [ndlr : Electronic Monitoring] (let. j) ; l'acceptation par la personne condamnée du plan d'exécution et de l'horaire hebdomadaire et son accord pour que l'autorité d'exécution compétente puisse accéder en tout temps au logement, aussi sans annonce préalable, pendant la durée de la surveillance électronique (let. k) ; l'exclusion de motifs professionnels, familiaux ou autres motifs importants qui seraient contraires à cette forme d'exécution, notamment une condamnation pour violence domestique ou pour abus sexuels d'enfants si des enfants vivent sous le même toit (let. l).</w:t>
      </w:r>
    </w:p>
    <w:p>
      <w:r>
        <w:rPr>
          <w:b/>
        </w:rPr>
        <w:t>E. 6.2.3</w:t>
      </w:r>
    </w:p>
    <w:p>
      <w:r>
        <w:t>La condition de l'absence de risque de récidive posée par l'art. 79b al. 2 let. a CP étant identique à celle posée par l'art. 77b al. 1 let. a CP, elle doit être appliquée de la même manière (TF 6B_1261/2021 du 5 octobre 2022 consid. 2.1 et les réf. cit.).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 TF 6B_1261/2021 précité consid. 2.2).</w:t>
      </w:r>
    </w:p>
    <w:p>
      <w:r>
        <w:rPr>
          <w:b/>
        </w:rPr>
        <w:t>E. 6.3</w:t>
      </w:r>
    </w:p>
    <w:p>
      <w:r>
        <w:t>En l’espèce, contrairement à ce que soutient le recourant, la décision litigieuse repose sur une base légale, soit l’art. 79b CP. Comme déjà dit au considérant 1.3 ci-dessus, le recourant se contente d’invoquer un catalogue de dispositions légales et de principes sans pour autant indiquer en quoi précisément ils auraient été violés dans son cas. Il ne conteste en outre pas les éléments retenus par l’OEP pour justifier son refus, soit ses antécédents judiciaires, le fait qu’il fasse l’objet d’enquêtes en cours et le jugement rendu le 24 novembre 2022 par le Tribunal d’arrondissement de Lausanne, qui n’est pas définitif et exécutoire. Il</w:t>
      </w:r>
    </w:p>
    <w:p>
      <w:r>
        <w:t>- 13 - ressort du dossier qu’en sus de la condamnation qu’il doit exécuter, le recourant a été condamné le 19 juin 2017 pour escroquerie à une peine pécuniaire de 180 jours-amende à 30 fr., avec sursis pendant 4 ans, et une amende de 1'200 fr., le 4 juillet 2017 pour non restitution de permis et/ou de plaques de contrôle à une peine pécuniaire de 20 jours-amende à 40 fr., avec sursis durant 2 ans, et à une amende de 320 fr., ainsi que le 16 juin 2021 pour infraction à la loi fédérale sur l’assurance-vieillesse et survivants à une peine pécuniaire de 30 jours-amende à 30 francs. Le 24 novembre 2022, le recourant a en outre été condamné par le Tribunal d’arrondissement de Lausanne pour gestion déloyale aggravée, obtention frauduleuse d’une constatation fausse, violation de l’obligation de tenir une comptabilité et emploi d’étrangers sans autorisation à 8 mois de peine privative de liberté, l’OEP précisant dans sa décision que le recourant a interjeté un appel contre ce jugement. Le recourant fait en outre l’objet de deux autres procédures pénales en cours pour escroquerie, faux dans les titres et obtention illicite de prestations d’une assurance sociale ou de l’aide sociale. A la lumière de ces éléments, seul un pronostic défavorable peut être émis quant au comportement futur de l’intéressé, de sorte que c’est à juste titre que l’OEP a refusé qu’il exécute sa peine privative de liberté sous la forme d’une surveillance électronique. Quant aux critiques émises par le recourant concernant l’élaboration d’un PES, force est de constater qu’elles ne modifient nullement l’appréciation qui précède.</w:t>
      </w:r>
    </w:p>
    <w:p>
      <w:r>
        <w:rPr>
          <w:b/>
        </w:rPr>
        <w:t>E. 7.1</w:t>
      </w:r>
    </w:p>
    <w:p>
      <w:r>
        <w:t>Le recourant invoque enfin une violation du principe de la proportionnalité. Il soutient qu’il n’aurait pas commis une infraction suffisamment grave et, se référant à l’art. 237 CPP, qu’une mesure moins sévère aurait dû être prise.</w:t>
      </w:r>
    </w:p>
    <w:p>
      <w:r>
        <w:rPr>
          <w:b/>
        </w:rPr>
        <w:t>E. 7.2</w:t>
      </w:r>
    </w:p>
    <w:p>
      <w:r>
        <w:t>Conformément à l’art. 36 Cst., toute restriction d’un droit fondamental doit être proportionnée au but visé.</w:t>
      </w:r>
    </w:p>
    <w:p>
      <w:r>
        <w:t>- 14 - Aux termes de l’art. 237 CPP, le tribunal compétent ordonne une ou plusieurs mesures moins sévères en lieu et place de la détention provisoire ou de la détention pour des motifs de sûreté si ces mesures permettent d’atteindre le même but que la détention.</w:t>
      </w:r>
    </w:p>
    <w:p>
      <w:r>
        <w:rPr>
          <w:b/>
        </w:rPr>
        <w:t>E. 7.3</w:t>
      </w:r>
    </w:p>
    <w:p>
      <w:r>
        <w:t>En l’espèce, on ne distingue aucune violation du principe de la proportionnalité. Le recourant ne remplit pas les conditions requises pour se voir accorder une surveillance électronique. La gravité des faits pour lesquels il a été condamné n’est pas un élément déterminant. Quant à l’art. 237 CPP, il n’est pas applicable puisqu’il régit les conditions pour ordonner des mesures de substitution en cas de détention provisoire ou de détention pour des motifs de sûreté, ce qui n’est pas le cas du recourant qui doit exécuter une peine privative de liberté.</w:t>
      </w:r>
    </w:p>
    <w:p>
      <w:r>
        <w:rPr>
          <w:b/>
        </w:rPr>
        <w:t>E. 8</w:t>
      </w:r>
    </w:p>
    <w:p>
      <w:r>
        <w:t>En définitive, le recours, manifestement mal fondé, doit être rejeté dans la faible mesure de sa recevabilité, sans échange d'écritures (art. 390 al. 2 CPP), et la décision entreprise confirmée. La requête d’effet suspensif déposée par le recourant est ainsi sans objet. Il n’y a pas lieu d’accorder l’assistance judiciaire au recourant. En effet, le présent recours était d’emblée dénué de toute chance de succès, soit manifestement mal fondé ; en outre, l’affaire était simple, factuellement et juridiquement (art. 439 CPP et 18 LPA-VD). La requête tendant à ce qu’une décision incidente soit rendue sur cette question et à ce que la cause soit suspendue jusqu’à droit connu sur celle-ci (cf. recours, p. 5) est ainsi sans objet elle aussi. Il n’y a pas lieu d’allouer au recourant une indemnité au sens de l’art. 429 CPP, laquelle est réservée au prévenu acquitté totalement ou partiellement, ou mis au bénéfice d’un classement (art. 429 al. 1 CPP). Les frais de la procédure de recours, constitués en l’espèce du seul émolument d’arrêt, par 1’430 fr. (art. 20 al. 1 TFIP [Tarif des frais de procédure et indemnités en matière pénale du 28 septembre 2010 ; BLV</w:t>
      </w:r>
    </w:p>
    <w:p>
      <w:r>
        <w:t>- 15 - 312.03.1]), seront mis à la charge du recourant, qui succombe (art. 428 al. 1 CPP). Par ces motifs, la Chambre des recours pénale prononce : I. Le recours est rejeté dans la mesure où il est recevable. II. La décision du 22 décembre 2022 est confirmée. III. La demande d’effet suspensif est sans objet. IV. La requête d’assistance judiciaire est rejetée. V. La requête tendant au prononcé d’une décision incidente sur l’assistance judiciaire et à la suspension de cause jusqu’à droit connu sur celle-ci est sans objet. VI. La demande de restitution de délai est rejetée dans la mesure où elle est recevable. VII. Les frais d’arrêt, par 1’430 fr. (mille quatre cent trente francs), sont mis à la charge de R.________. VIII. L’arrêt est exécutoire. La présidente : La greffière : Du Le présent arrêt, dont la rédaction a été approuvée à huis clos, est notifié, par l'envoi d'une copie complète, à : - M. R.________, - Ministère public central,</w:t>
      </w:r>
    </w:p>
    <w:p>
      <w:r>
        <w:t>- 16 - et communiqué à : - Office d’exécution des peines (OEP/CPPL/11122),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