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AP22.022987 vom 7. März 2023</w:t>
      </w:r>
    </w:p>
    <w:p>
      <w:r>
        <w:t>VD Tribunal cantonal, 2023-03-07, FR</w:t>
      </w:r>
    </w:p>
    <w:p>
      <w:r>
        <w:rPr>
          <w:b/>
        </w:rPr>
        <w:t xml:space="preserve">Quelle: </w:t>
      </w:r>
      <w:r>
        <w:t>https://mcp.opencaselaw.ch/entscheid/vd_gerichte_AP22.022987</w:t>
      </w:r>
    </w:p>
    <w:p>
      <w:r>
        <w:t>FR: VD_GERICHTE AP22.022987 du 7 mars 2023</w:t>
      </w:r>
    </w:p>
    <w:p>
      <w:r>
        <w:t>IT: VD_GERICHTE AP22.022987 del 7 marzo 2023</w:t>
      </w:r>
    </w:p>
    <w:p>
      <w:pPr>
        <w:pStyle w:val="Heading2"/>
      </w:pPr>
      <w:r>
        <w:t>Erwägungen</w:t>
      </w:r>
    </w:p>
    <w:p>
      <w:r>
        <w:rPr>
          <w:b/>
        </w:rPr>
        <w:t>E. 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(al. 2). En vertu de l’art. 38 al. 1 LEP, les décisions rendues par le Juge d'application des peines et par le Collège des juges d'application des</w:t>
      </w:r>
    </w:p>
    <w:p>
      <w:r>
        <w:t>- 7 -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par le condamné qui a qualité pour recourir (art. 382 al. 1 CPP), et satisfaisant aux exigences de forme prescrites (art. 385 al. 1 CPP), le recours de P. et son complément sont recevables.</w:t>
      </w:r>
    </w:p>
    <w:p>
      <w:r>
        <w:rPr>
          <w:b/>
        </w:rPr>
        <w:t>E. 2.1</w:t>
      </w:r>
    </w:p>
    <w:p>
      <w:r>
        <w:t>Dans un premier grief, le recourant se plaint d’une violation de son droit d’être entendu. Il expose avoir été auditionné par la Juge d’application des peines sans être assisté d’un interprète, alors que sa compréhension et son expression orales seraient insuffisantes dans le domaine administratif, raison pour laquelle il était venu à son audition accompagné d’un ami afin que celui-ci l’assiste en tant qu’interprète, ce qui lui avait été refusé. Il soutient ne pas avoir compris la portée des questions qui lui ont été posées durant l’audition et dit s’être évertué à démontrer « son honnêteté et son côté travailleur ». Ainsi, s’il avait correctement compris la question tendant à savoir s’il était prêt à quitter la Suisse en cas de décision définitive et exécutoire lui refusant le droit de rester en Suisse et d’y travailler, il aurait assurément répondu affirmativement. Le recourant se plaint également d’une violation de son droit d’être entendu en tant que la Juge d’application des peines aurait dû lui</w:t>
      </w:r>
    </w:p>
    <w:p>
      <w:r>
        <w:t>- 8 - transmettre les informations du SPOP obtenues par téléphone le 20 janvier 2023 et lui impartir un bref délai pour se déterminer. Seul un contact téléphonique aurait eu lieu. La magistrate avait d’ailleurs annoncé lors de l’audience qu’elle procéderait comme tel, ce qu’elle n’aurait ensuite pas fait.</w:t>
      </w:r>
    </w:p>
    <w:p>
      <w:r>
        <w:rPr>
          <w:b/>
        </w:rPr>
        <w:t>E. 2.2</w:t>
      </w:r>
    </w:p>
    <w:p>
      <w:r>
        <w:t>Le droit d’être entendu garanti à l'art. 29 al. 2 Cst. (Constitution fédérale de la Confédération suisse du 18 avril 1999 ; RS 101) comprend notamment le droit d'être assisté d'un interprète (cf. art. 68 al. 1 CPP, applicable par renvoi de l’art. 29 al. 2 LEP pour ce qui est de la procédure devant le Juge d’application des peines). L’art. 68 al. 1, 1re phr. CPP prévoit qu'il est fait appel à un interprète lorsqu'une personne participant à la procédure ne comprend pas la langue de la procédure ou ne s'exprime pas suffisamment bien dans cette langue.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et l’objet de l’audition, son but et son importance (Moreillon/Parein-Reymond, Petit commentaire CPP, 2e éd., Bâle 2016, n. 7 ad art. 68 CPP et les références citées). Le droit d’être entendu garanti à l’art. 29 al. 2 Cst comprend également le droit de se prononcer au sujet de la cause et de la procédure, c’est-à-dire celui de prendre position, avant la décision, sur tous les éléments de fait et de droit qui peuvent l’influencer (cf. art. 107 al. 1 let. d CPP, applicable par renvoi de l’art. 29 al. 2 LEP pour ce qui est de la procédure devant le Juge d’application des peines). Lorsqu’un délai est fixé pour s’exprimer, celui-ci doit être approprié afin de permettre au justiciable une défense efficace de ses droits (ATF 133 V 196 consid. 1.2). Le droit d'être entendu est une garantie de nature formelle, dont la violation entraîne en principe l'annulation de la décision attaquée, indépendamment des chances de succès du recours sur le fond (ATF 142 II</w:t>
      </w:r>
    </w:p>
    <w:p>
      <w:r>
        <w:t>- 9 - 218 consid. 2.8.1).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La Chambre des recours pénale dispose d'un tel pouvoir d'examen, permettant de guérir le vice procédural invoqué (art. 391 et 393 al. 2 CPP ; TF 6B_1239/2020 du 2 décembre 2020 consid. 6). Lorsqu’on ne voit pas quelle influence la violation du droit d’être entendu a pu avoir sur la procédure, il n’y a pas lieu d’annuler la décision attaquée (ATF 143 IV 380 consid. 1.4.1 ; TF 6B_1446/2021 précité).</w:t>
      </w:r>
    </w:p>
    <w:p>
      <w:r>
        <w:rPr>
          <w:b/>
        </w:rPr>
        <w:t>E. 2.3</w:t>
      </w:r>
    </w:p>
    <w:p>
      <w:r>
        <w:t>;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w:t>
      </w:r>
    </w:p>
    <w:p>
      <w:r>
        <w:t>- 12 -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w:t>
      </w:r>
    </w:p>
    <w:p>
      <w:r>
        <w:rPr>
          <w:b/>
        </w:rPr>
        <w:t>E. 3.1</w:t>
      </w:r>
    </w:p>
    <w:p>
      <w:r>
        <w:t>Dans un second grief, le recourant se plaint implicitement d’une violation de l’art. 86 CP en tant que la Juge d’application des peines a retenu que le pronostic était défavorable, en se fondant sur la condamnation intervenue en février 2022, laquelle portait cependant sur des infractions à la LEI commises en juillet 2017. Il fait valoir que les autorités pénales l’ayant condamné antérieurement pour des infractions à la LEI concernant des périodes, elles postérieures, en avaient déjà tenu compte. Il soutient également qu’il a entrepris des démarches dès le 24 septembre 2020 en vue de la régularisation de sa situation et que le SPOP l’avait, dans l’intervalle d’une décision définitive en matière de police des étrangers, autorisé à rester en Suisse et à y travailler. Le recourant se prévaut aussi d’avoir sollicité et obtenu de pouvoir purger sa peine sous le régime de la surveillance électronique. Il relève que l’OEP et la FVP ont tous deux préavisé favorablement à la libération conditionnelle, relevant qu’il s’était montré collaborant, avait respecté l’ensemble des conditions et que la surveillance électronique s’était déroulée sans incident ni sanction. Enfin, P. fait valoir que, par courrier du 30 janvier 2023, il a confirmé à l’OEP sa volonté de quitter la Suisse dans la mesure où la possibilité lui en était laissée (P. 12/4).</w:t>
      </w:r>
    </w:p>
    <w:p>
      <w:r>
        <w:rPr>
          <w:b/>
        </w:rPr>
        <w:t>E. 3.2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w:t>
      </w:r>
    </w:p>
    <w:p>
      <w:r>
        <w:t>- 11 - degré de son éventuel amendement ainsi que les conditions dans lesquelles il est à prévoir qu'il vivra (ATF 133 IV 201 précité consid. 2.2 et</w:t>
      </w:r>
    </w:p>
    <w:p>
      <w:r>
        <w:rPr>
          <w:b/>
        </w:rPr>
        <w:t>E. 3.3</w:t>
      </w:r>
    </w:p>
    <w:p>
      <w:r>
        <w:t>En l’espèce, le recourant a formellement débuté l’exécution de ses peines le 23 juin 2022 et il en a accompli les deux tiers le 29 janvier 2023. La première des trois conditions cumulatives posées par l’art. 86 al. 1 CP est ainsi remplie. S’agissant du comportement de P. durant l’exécution de ses peines – qui n’est pas un critère déterminant mais constitue un élément supplémentaire d’appréciation pour établir le pronostic (ATF 119 IV 5 consid. 1) –, il résulte du préavis de la FVP du 1er décembre 2022 que l’intéressé a respecté l’ensemble des conditions relatives à l’exécution de ses peines sous la forme d’une surveillance électronique. Le comportement du condamné ne s’oppose ainsi pas à son élargissement et il s’agit ainsi d’un élément favorable quant à l’appréciation du pronostic qui doit être posé. La question déterminante est ainsi celle de savoir s’il y a lieu de craindre que le recourant récidive et, en d’autres termes, si un pronostic défavorable doit être posé. Tel n’est pas le cas, eu égard au comportement qu’il a adopté dans le cadre de l’exécution de ses peines et au fait qu’il n’a pas récidivé depuis la condamnation du 10 septembre 2021, dès lors qu’il avait entrepris des démarches en vue de régulariser sa situation en Suisse, période durant laquelle sa présence a été tolérée et</w:t>
      </w:r>
    </w:p>
    <w:p>
      <w:r>
        <w:t>- 13 - durant laquelle il a été autorisé à exercer une activité lucrative. Au demeurant, malgré le fait que P. ait déclaré, lors de son audition devant la Juge d’application des peines, qu’il entendait rester en Suisse, il résulte de ses écrits, soit de son recours et du complément de recours ainsi que du courrier adressé à l’OEP, par son conseil, le 30 janvier 2023, qu’il est d’accord de quitter la Suisse, vu le refus définitif d’octroi d’une autorisation de séjour confirmé par l’arrêt de la CDAP. Le pronostic n’apparaît ainsi pas défavorable. A cela s’ajoute que l’exécution de l’intégralité des peines privatives de liberté n’apporterait à P. aucune amélioration de sa situation administrative désormais figée. Ainsi, le risque de récidive à l’issue de l’exécution de ses condamnations serait élevé s’agissant des infractions à la législation sur les étrangers, ce d’autant qu’il vit en Suisse illégalement depuis 16 ans et y travaille. On ne distingue ainsi pas d’avantage à l’exécution complète de sa peine par un condamné qui est disposé à retourner dans son pays d’origine en raison du refus définitif par les autorités suisses de lui accorder une autorisation de séjour. Par ailleurs, la sauvegarde de la sécurité publique ne commande pas son maintien en détention. Un délai d’épreuve d’une durée d’un an, comme proposé par l’OEP, et le risque d’une nouvelle condamnation à une peine privative de liberté auront un effet plus dissuasif que l’exécution du solde de la peine sous forme de surveillance électronique. En définitive, il se justifie de libérer conditionnellement P.. Cet élargissement anticipé sera toutefois subordonné à la prise en charge du recourant par les autorités administratives compétentes chargées de l’exécution de son renvoi du territoire suisse. Il convient en outre d’impartir à P. un délai d’épreuve d’une année à partir de la date de sa libération effective, conformément à l’art. 87 al. 1 CP, le solde de peine étant en l’espèce inférieur à un an.</w:t>
      </w:r>
    </w:p>
    <w:p>
      <w:r>
        <w:t>- 14 -</w:t>
      </w:r>
    </w:p>
    <w:p>
      <w:r>
        <w:rPr>
          <w:b/>
        </w:rPr>
        <w:t>E. 4</w:t>
      </w:r>
    </w:p>
    <w:p>
      <w:r>
        <w:t>Il résulte de ce qui précède que le recours doit être admis et l’ordonnance entreprise réformée dans le sens des considérants qui précèdent. Me Stefan Graf est désigné en qualité de défenseur d’office de P. pour la procédure de recours (art. 439 al. 1 CPP ; art. 18 LPA-VD ; TF 6B_1167/2021 du 27 juillet 2022 consid. 8.2 ; TF 6B_580/2021 du 22 septembre 2021 consid. 2.2 et 6). Au vu de la nature de l’affaire et du mémoire de recours déposé, une activité nécessaire d’avocat de 3,5 heures au tarif horaire de 180 fr. sera indemnisée,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60, plus la TVA au taux de 7,7 %, par 49 fr. 50, soit à 693 fr. au total en chiffres arrondis. Le recourant ayant obtenu gain de cause, les frais de la procédure de recours, constitués en l’espèce de l’émolument d’arrêt, par 1’430 fr. (art. 20 al. 1 TFIP [Tarif des frais de procédure et indemnités en matière pénale du 28 septembre 2010 ; BLV 312.03.1]), ainsi que de l’indemnité allouée à son défenseur d’office, par 693 fr., seront laissés à la charge de l’Etat (art. 428 al. 1 CPP). Par ces motifs, la Chambre des recours pénale prononce : I. Le recours est admis. II. L’ordonnance du 26 janvier 2023 est réformée à son chiffre I comme il suit :</w:t>
      </w:r>
    </w:p>
    <w:p>
      <w:r>
        <w:t>- 15 - « I. Accorde la libération conditionnelle à P. au premier jour utile où son renvoi du territoire suisse pourra être exécuté par les autorités compétentes. Ibis. Impartit à P. un délai d’épreuve d’une durée d’un an dès sa libération effective. » L’ordonnance est confirmée pour le surplus. III. Me Stefan Graf est désigné en qualité de défenseur d’office de P. pour la procédure de recours. IV. Une indemnité de 693 fr. (six cent nonante-trois francs) est allouée à Me Stefan Graf. V. Les frais d’arrêt, par 1’430 fr. (mille quatre cent trente francs), ainsi que l’indemnité allouée au défenseur d’office du recourant, par 693 fr. (six cent nonante-trois francs), sont laissés à la charge de l’Etat. VI. L’arrêt est exécutoire. La présidente : La greffière : Du Le présent arrêt, dont la rédaction a été approuvée à huis clos, est notifié, par l'envoi d'une copie complète, à : - Me Stefan Graf, avocat (pour P.), - Ministère public central, et communiqué à : - Mme la Juge d’application des peines, - Mme la Procureure du Ministère public de l’arrondissement de l’Est vaudois, - Office d’exécution des peines, - Fondation vaudoise de probation, - Prison du Bois-Mermet,</w:t>
      </w:r>
    </w:p>
    <w:p>
      <w:r>
        <w:t>- 16 -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