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AP22.018730 vom 14. November 2022</w:t>
      </w:r>
    </w:p>
    <w:p>
      <w:r>
        <w:t>VD Tribunal cantonal, 2022-11-14, FR</w:t>
      </w:r>
    </w:p>
    <w:p>
      <w:r>
        <w:rPr>
          <w:b/>
        </w:rPr>
        <w:t xml:space="preserve">Quelle: </w:t>
      </w:r>
      <w:r>
        <w:t>https://mcp.opencaselaw.ch/entscheid/vd_gerichte_AP22.018730</w:t>
      </w:r>
    </w:p>
    <w:p>
      <w:r>
        <w:t>FR: VD_GERICHTE AP22.018730 du 14 novembre 2022</w:t>
      </w:r>
    </w:p>
    <w:p>
      <w:r>
        <w:t>IT: VD_GERICHTE AP22.018730 del 14 novembre 2022</w:t>
      </w:r>
    </w:p>
    <w:p>
      <w:pPr>
        <w:pStyle w:val="Heading2"/>
      </w:pPr>
      <w:r>
        <w:t>Erwägungen</w:t>
      </w:r>
    </w:p>
    <w:p>
      <w:r>
        <w:rPr>
          <w:b/>
        </w:rPr>
        <w:t>E. 20</w:t>
      </w:r>
    </w:p>
    <w:p>
      <w:r>
        <w:t>septembre 2022 pour se déterminer sur la lettre de la FVP du 15 septembre 2022. Le 17 septembre 2022, X.________ a répondu qu’il n’était pas opposé à effectuer sa peine privative de liberté de substitution sous surveillance électronique, mais qu’il pourrait probablement verser d’ici au</w:t>
      </w:r>
    </w:p>
    <w:p>
      <w:r>
        <w:rPr>
          <w:b/>
        </w:rPr>
        <w:t>E. 22</w:t>
      </w:r>
    </w:p>
    <w:p>
      <w:r>
        <w:t>septembre 2022 la somme d’argent nécessaire pour réduire la quotité de la peine en-dessous du minimum de 20 jours requis selon l’art. 79b al. 1 let. a CP (Code pénal suisse du 21 décembre 1937 ; RS 311.0) et rendre la peine inexécutable sous cette forme. Le 22 septembre 2022, l’OEP a informé X.________ que son attitude dans le cadre de la mise en œuvre du régime de la surveillance électronique n’était pas conforme à ses obligations et ne saurait plus être tolérée. Toutefois, en tant qu’ultime chance, l’Office a maintenu le début du régime prévu au 26 septembre 2022 et a informé l’intéressé que toute nouvelle rupture de cadre pourrait entraîner la révocation du régime de la surveillance électronique et l’exécution de la peine en régime de détention ordinaire. Le 23 septembre 2022, l’OEP a informé X.________ qu’il faisait l’objet de 20 jours de peine privative de liberté de substitution supplémentaires, de sorte que le solde à exécuter s’élevait dorénavant à 34 jours, représentant 4'248 fr. d’amendes impayées. X.________ a payé 1'898 fr. le 23 septembre 2022. Le 23 septembre 2022, l’OEP a informé X.________ qu’il lui restait encore 19 jours de peine privative de liberté de substitution à</w:t>
      </w:r>
    </w:p>
    <w:p>
      <w:r>
        <w:t>- 5 - exécuter, mais qu’il pouvait encore se libérer totalement en s’acquittant de la somme de 2'350 francs. Pour le surplus, l’Office a déploré son comportement et sa mauvaise collaboration dans le cadre de la mise en œuvre des sanctions pénales et a attiré son attention sur le fait que ces éléments seraient inévitablement déterminants pour la suite de la procédure. B. Par décision du 30 septembre 2022, constatant que le solde de la peine à purger s’élevait à 19 jours et que le minimum de 20 jours n’était plus atteint selon l’art. 79b al. 1 let. a CP, l’OEP a révoqué le régime de la surveillance électronique avec effet rétroactif au 26 septembre 2022. L’autorité a par ailleurs informé X.________ qu’il serait convoqué pour exécuter le solde de 19 jours en régime ordinaire, qu’il serait arrêté s’il ne donnait pas suite à l’injonction, mais qu’il pouvait toujours se libérer en tout temps en s’acquittant du montant de 2'350 francs. C. Par acte du 9 octobre 2022, X.________ a recouru contre cette décision. En d roit : 1. 1.1 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w:t>
      </w:r>
    </w:p>
    <w:p>
      <w:r>
        <w:t>- 6 - vaudoise d’introduction du Code de procédure pénale suisse du 19 mai 2009 ; BLV 312.01] ; art. 80 LOJV [loi vaudoise d’organisation judiciaire du 12 décembre 1979 ; BLV 173.01]). 1.2 Le recourant explique qu’il a payé la somme 1'898 fr. afin de ne pas exécuter sa peine privative de liberté de substitution sous surveillance électronique, car cette perspective lui provoquerait des angoisses en raison de son handicap de naissance, lié à une asphyxie natale ayant pour conséquence qu’il aurait de la peine à parler, à respirer et à marcher. Il ajoute qu’il voudrait purger sa peine en effectuant du travail d’intérêt général ou en étant mis au bénéfice du régime de la semi- détention. Vu ces arguments, on ne saisit pas pourquoi il recourt contre la décision de l’OEP qui précisément révoque le régime de la surveillance électronique qu’il ne veut pas exécuter. Toutefois, dès lors que le recourant indique aussi, de manière contradictoire, qu’il souhaite « faire recours » contre la décision litigieuse et qu’il n’a jamais « vu » (voulu) refuser la surveillance électronique, il sera entré en matière sur son recours dans la mesure de sa recevabilité. Pour le surplus, le recours a été interjeté en temps utile auprès de l’autorité compétente par un condamné qui a la qualité pour recourir (art. 382 al. 1 CPP). 2. 2.1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Le minimum de vingt jours a été fixé en raison de l’organisation et des coûts que la surveillance électronique génère (Viredaz, Commentaire romand, Code pénal I, 2e éd., Bâle 2021, n. 6 ad art. 79b CP).</w:t>
      </w:r>
    </w:p>
    <w:p>
      <w:r>
        <w:t>- 7 -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Le Message du Conseil fédéral du 4 avril 2012 relatif à la modification du code pénal suisse et du code pénal militaire (Réforme du droit des sanctions) retient expressément que, pour la limite de l’art. 79b al. 1 CP, c’est la durée de la peine prononcée qui est déterminante et non le solde de la peine après déduction du temps de détention avant jugement ou de détention pour des motifs de sûreté. Le système est calqué sur la semi-détention en cas de courte peine (art. 77b al. 2 CP) et du travail d’intérêt général (art. 79a al. 1 CP). En effet, il ne faut pas que les auteurs d’infractions graves qui se trouvent ne plus avoir que moins d’un an de détention à purger puissent profiter de l’exécution sous surveillance électronique (FF 2012 pp. 4385 ss, spéc. 4411 ; Moreillon/Parein-Reymond, Petit commentaire romand, Code de procédure pénale, 2e éd., Bâle 2016, n. 5 ad art. 79b CP). 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2 al. 1 RESE, la surveillance électronique est admissible à condition que la peine prononcée ou la durée totale des peines exécutables simultanément soit comprise entre 20 jours au minimum et 12 mois au maximum. Les conditions personnelles à remplir pour bénéficier du régime de la surveillance électronique figurent à l’art. 4 al. 1 RESE, dont l’une d’entre</w:t>
      </w:r>
    </w:p>
    <w:p>
      <w:r>
        <w:t>- 8 - elles dispose que l’autorité doit obtenir des garanties quant au respect des conditions-cadre de l’exécution (let. g). 2.2 2.2.1 Le recourant est un multirécidiviste de contraventions à la loi fédérale sur la circulation routière et à d’autres lois spéciales, dont il n’a pas payé les amendes qui ont été converties. A la date de la décision litigieuse, le solde de la peine privative de liberté de substitution à exécuter s’élevait à 19 jours, de sorte que le recourant n’était plus éligible au régime de la surveillance électronique puisque la condition du minimum de 20 jours de l’art. 79b al. 1 let. a CP n’était pas remplie. Dès lors que ce dernier article ne laisse aucune latitude sur ce point, c’est à juste titre que l’autorité intimée a révoqué le régime de la surveillance électronique avec effet rétroactif au 26 septembre 2022. 2.2.2 De toute manière, même si le recourant devait exécuter 20 jours ou plus de peine privative de liberté de substitution, il n’aurait pas droit au régime de la surveillance électronique dans la mesure où il ne remplit pas la condition de l’art. 4 al. 1 let. g RESE selon laquelle le respect des conditions-cadre de l’exécution doit être garanti. En effet, le comportement du recourant dépeint dans la lettre de la FVP du 15 septembre 2022 démontre à l’envi qu’il n’a en réalité aucune intention de purger sa peine privative de liberté de substitution sous surveillance électronique, voire de la purger du tout : il a cherché à gagner du temps en prétextant vouloir payer l’intégralité de ses amendes, ce qu’il n’a fait que partiellement ; il a prétendu qu’il était d’accord de purger sa peine sous surveillance électronique avant de se rétracter en faisant valoir des problèmes de santé qu’il n’a pas documentés ou en payant finalement la somme nécessaire pour échapper à la surveillance électronique lorsque l’inéluctable se profilait ; et il n’a pas payé l’intégralité des frais relatifs au port du bracelet électronique dans le délai imparti, de sorte que l’autorité a dû lui adresser une sommation. En outre, contrairement à ce que le recourant pense, la FVP peut parfaitement lui imposer la date à laquelle il devra purger sa peine privative de liberté de</w:t>
      </w:r>
    </w:p>
    <w:p>
      <w:r>
        <w:t>- 9 - substitution et son handicap ne change rien au fait qu’il devait respecter les délais qui lui avaient été impartis et garantir sa pleine collaboration au plan d’exécution de la sanction. La révocation du régime de la surveillance électronique a pour conséquence que le recourant devra exécuter sa peine privative de liberté de substitution sous la forme de la détention ordinaire ou de la semi- détention (Dupuis et alii, Petit Commentaire du Code pénal, 2e éd., Bâle 2017, n. 12 ad art. 79b CP ; Viredaz, op. cit., n. 20 ad art. 79b CP). En effet, conformément à l’art. 79a al. 2 CP, il ne pourra pas le faire sous forme de travail d’intérêt général. Si le recourant souhaite bénéficier du régime de la semi-détention, il devra adresser une demande formelle à l’OEP (art. 77b al. 1 CP) qui examinera s’il en remplit toutes les conditions. 3. En définitive, le recours, manifestement mal fondé, doit être rejeté dans la mesure où il est recevable sans échange d’écritures (art. 390 al. 2 CPP) et la décision entreprise confirmée. [...] Par ces motifs, la Chambre des recours pénale prononce : I. Le recours est rejeté dans la mesure où il est recevable. II. La décision du 30 septembre 2022 est confirmée. III. Les frais d’arrêt, par 880 fr. (huit cent huitante francs), sont [...]. IV. L’arrêt est exécutoire. La présidente : La greffière :</w:t>
      </w:r>
    </w:p>
    <w:p>
      <w:r>
        <w:t>- 10 - Du Le présent arrêt, dont la rédaction a été approuvée à huis clos, est notifié, par l'envoi d'une copie complète, à : - M. X.________, - Ministère public central, et communiqué à : - Office d’exécution des peines, - Fondation Vaudoise de Probation,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