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AP22.018592 vom 2. Dezember 2022</w:t>
      </w:r>
    </w:p>
    <w:p>
      <w:r>
        <w:t>VD Tribunal cantonal, 2022-12-02, FR</w:t>
      </w:r>
    </w:p>
    <w:p>
      <w:r>
        <w:rPr>
          <w:b/>
        </w:rPr>
        <w:t xml:space="preserve">Quelle: </w:t>
      </w:r>
      <w:r>
        <w:t>https://mcp.opencaselaw.ch/entscheid/vd_gerichte_AP22.018592</w:t>
      </w:r>
    </w:p>
    <w:p>
      <w:r>
        <w:t>FR: VD_GERICHTE AP22.018592 du 2 décembre 2022</w:t>
      </w:r>
    </w:p>
    <w:p>
      <w:r>
        <w:t>IT: VD_GERICHTE AP22.018592 del 2 dicembre 2022</w:t>
      </w:r>
    </w:p>
    <w:p>
      <w:pPr>
        <w:pStyle w:val="Heading2"/>
      </w:pPr>
      <w:r>
        <w:t>Erwägungen</w:t>
      </w:r>
    </w:p>
    <w:p>
      <w:r>
        <w:rPr>
          <w:b/>
        </w:rPr>
        <w:t>E. 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En l’espèce, le recours a été interjeté en temps utile devant l’autorité compétente.</w:t>
      </w:r>
    </w:p>
    <w:p>
      <w:r>
        <w:rPr>
          <w:b/>
        </w:rPr>
        <w:t>E. 2.1</w:t>
      </w:r>
    </w:p>
    <w:p>
      <w:r>
        <w:t>Aux termes de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w:t>
      </w:r>
    </w:p>
    <w:p>
      <w:r>
        <w:t>- 4 - consid. 3.1 ; ATF 144 IV 81 consid. 2.3.1 ; TF 6B_112/2022 du 10 novembre 2022 consid. 1.2).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(TF 6B_112/2022 précité et les références citées).</w:t>
      </w:r>
    </w:p>
    <w:p>
      <w:r>
        <w:rPr>
          <w:b/>
        </w:rPr>
        <w:t>E. 2.2</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 18 mai 2021/450 consid. 2.2.2; CREP 20 novembre 2017/794 consid. 1.4 ; CREP 19 janvier 2016/31 précité consid. 1.4 et les références citées). Les autorités pénales ne peuvent que prendre acte de l’existence d’une décision administrative définitive sur la question du statut juridique du recourant en Suisse (TF 6B_40/2015 du 5 février 2015 consid. 3.3 ; CREP 2 novembre 2020/849 consid. 2.2 et les réf. citées).</w:t>
      </w:r>
    </w:p>
    <w:p>
      <w:r>
        <w:rPr>
          <w:b/>
        </w:rPr>
        <w:t>E. 2.3</w:t>
      </w:r>
    </w:p>
    <w:p>
      <w:r>
        <w:t>En l’espèce, le recourant déclare qu’il « fait opposition à son renvoi ». Ce faisant, il ne conteste pas le dispositif de l'ordonnance attaquée, ni ne prend de conclusion à l'appui de son recours. A raison, puisque, dès lors que sa libération conditionnelle est prononcée, il n’a pas d’intérêt pratique et actuel au recours. On ne voit pas en quoi</w:t>
      </w:r>
    </w:p>
    <w:p>
      <w:r>
        <w:t>- 5 - l’ordonnance attaquée procèderait d’une fausse application de l'art. 86 al. 1 CP (Code pénal suisse du 21 décembre 1937 ; RS 311.0), et le recourant ne le fait du reste pas valoir. M.________ ne conteste en réalité pas sa libération conditionnelle, mais le fait qu’il est prévu qu’au terme de sa détention, il soit remis aux autorités administratives pour l’exécution de son renvoi. Or, cette question échappait au pouvoir d’examen du Juge d’application des peines, qui n’a pas la compétence de revoir la décision de renvoi dont le recourant fait l’objet. Elle échappe également à la compétence de la Chambre des recours pénale. Dans ces conditions, le recourant ne dispose pas d’un intérêt juridiquement protégé au recours, ni n’expose de moyens recevables (art. 382 al. 1 et 385 al. 1 CPP). Son recours est donc irrecevable.</w:t>
      </w:r>
    </w:p>
    <w:p>
      <w:r>
        <w:rPr>
          <w:b/>
        </w:rPr>
        <w:t>E. 3</w:t>
      </w:r>
    </w:p>
    <w:p>
      <w:r>
        <w:t>En définitive, le recours doit être déclaré irrecevable sans échange d’écritures (art. 390 al. 2 CPP). Les frais d'arrêt, par 550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550 fr. (cinq cent cinquante francs), sont laissés à la charge de l’Etat. III. L’arrêt est exécutoire. La présidente : La greffière :</w:t>
      </w:r>
    </w:p>
    <w:p>
      <w:r>
        <w:t>- 6 - Du Le présent arrêt, dont la rédaction a été approuvée à huis clos, est notifié, par l'envoi d'une copie complète, à : - M. M.________, - Ministère public central, et communiqué à : - M. le Juge d’application des peines, - Office d’exécution de peines (OEP/CPPL/156347/BD/AMO), - Direction des Etablissements de Bellechasse,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