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AP22.017760 vom 18. Oktober 2022</w:t>
      </w:r>
    </w:p>
    <w:p>
      <w:r>
        <w:t>VD Tribunal cantonal, 2022-10-18, FR</w:t>
      </w:r>
    </w:p>
    <w:p>
      <w:r>
        <w:rPr>
          <w:b/>
        </w:rPr>
        <w:t xml:space="preserve">Quelle: </w:t>
      </w:r>
      <w:r>
        <w:t>https://mcp.opencaselaw.ch/entscheid/vd_gerichte_AP22.017760</w:t>
      </w:r>
    </w:p>
    <w:p>
      <w:r>
        <w:t>FR: VD_GERICHTE AP22.017760 du 18 octobre 2022</w:t>
      </w:r>
    </w:p>
    <w:p>
      <w:r>
        <w:t>IT: VD_GERICHTE AP22.017760 del 18 ottobre 2022</w:t>
      </w:r>
    </w:p>
    <w:p>
      <w:pPr>
        <w:pStyle w:val="Heading2"/>
      </w:pPr>
      <w:r>
        <w:t>Erwägungen</w:t>
      </w:r>
    </w:p>
    <w:p>
      <w:r>
        <w:rPr>
          <w:b/>
        </w:rPr>
        <w:t>E. 1.1</w:t>
      </w:r>
    </w:p>
    <w:p>
      <w:r>
        <w:t>Aux termes de l'art. 38 al. 1 LEP (Loi vaudoise sur l’exécution des condamnations pénales du 4 juillet 2006 ; BLV 340.01), les décisions rendues par l’Office d’exécution des peines – lequel est notamment compétent pour autoriser le condamné à exécuter sa peine sous la forme de la semi-détention (art. 19 al. 1 let. b LEP) – peuvent faire l'objet d'un recours auprès du Tribunal cantonal. Selon l'art. 38 al. 2 LEP, la procédure est régie par les dispositions du CPP (Code de procédure pénale suisse du</w:t>
      </w:r>
    </w:p>
    <w:p>
      <w:r>
        <w:rPr>
          <w:b/>
        </w:rPr>
        <w:t>E. 1.2</w:t>
      </w:r>
    </w:p>
    <w:p>
      <w:r>
        <w:t>En l’espèce, interjeté en temps utile devant l’autorité compétente par un condamné qui a qualité pour recourir (art. 382 al. 1 CPP), le recours est recevable, sous réserve de ce qui sera exposé sous l’angle de l’art. 385 CPP au considérant 2.2 ci-dessous. 2. 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Keller, in Donatsch/Lieber/ Summers/Wohlers (éd.), Zürcher Kommentar, Kommentar zur Schweizerischen Strafprozessordnung, 3e éd. 2020, n. 14 ad art. 396 StPO et les réf. cit. ; Guidon, in Niggli/Heer/Wiprächtiger (éd.), Basler Kommentar, Schweizerische Strafprozessordnung, 2e éd. 2014, n. 9c ad art. 396 StPO et les réf. cit. ; Calame, in : Jeanneret et al. [éd.], Commentaire romand, Code de procédure pénale suisse, 2e éd., Bâle 2019, n. 21 ad art. 385 CPP).</w:t>
      </w:r>
    </w:p>
    <w:p>
      <w:r>
        <w:t>- 6 -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 ; TF 6B_510/2018 du 31 juillet 2018 consid. 1 et les réf. cit. ; cf. aussi CREP 19 juillet 2022/550 consid. 1.1.2). 2.2 En l’espèce, l’OEP a refusé d’accorder à H.________ le régime de la semi-détention au motif qu’il bénéficiait d’une rente AI à 100 % et qu’il n’avait pas indiqué avoir un programme occupationnel d’au moins vingt heures par semaine. Il en a déduit qu’en application des art. 77b CP et 5 al. 1 let. f RSD, l’intéressé ne remplissait pas au moins une des conditions inhérentes au régime de la semi-détention. Or, le recourant ne discute pas cette appréciation. En particulier, il ne prétend pas qu’elle serait fondée sur une fausse application du droit, en particulier des dispositions appliquées par l’OEP ; il n’invoque pas non plus que les faits sur lesquels elle repose – plus précisément l’absence de toute pièce étayant une activité occupationnelle – seraient erronés, ni a fortiori n’invoque avoir une activité occupationnelle ou structurée d’une durée de 20 heures par semaine, ni du reste ne produit de pièces nouvelles pour étayer l’existence éventuelle de telles occupations. Le recourant se contente d’indiquer qu’il conteste la décision et qu’il essaye de faire de son mieux pour trouver un travail fixe afin d’obtenir la semi-détention. Or, ce faisant, le recourant ne développe pas d’argument sur le raisonnement fait par l’OEP. En effet, bénéficiant d’une rente invalidité avec un degré</w:t>
      </w:r>
    </w:p>
    <w:p>
      <w:r>
        <w:t>- 7 - d’invalidité de 100 % selon décision du 23 juin 2022, il ne peut être attendu de lui qu’il exerce un travail ; c’est la raison pour laquelle l’OEP a exigé de lui qu’il exerce une activité occupationnelle, et non professionnelle. C’est donc de manière irrecevable, et au surplus en vain, que le recourant invoque qu’il recherche un « travail fixe ». De toute manière, la décision est bien fondée, pour les motifs suivants. 3. 3.1 Aux termes de l'art. 77b al. 1 CP (Code pénal suisse du 21 décembre 1937 ; RS 311.0), une peine privative de liberté de 12 mois au plus ou un solde de peine de 6 mois au plus après imputation de la détention subie avant le jugement peuvent, à la demande du condamné, être exécutés sous la forme de la semi-détention : s'il n’y a pas lieu de craindre que le condamné s’enfuie ou commette d’autres infractions (let. a) et si le condamné exerce une activité régulière, qu’il s’agisse d’un travail, d’une formation ou d’une occupation, pendant au moins 20 heures par semaine (let. b). La semi-détention doit permettre au condamné de conserver son emploi ou sa place de formation et prévenir ainsi le danger de coupure avec le monde professionnel (ATF 145 IV 10 consid. 2.2.1). L'art. 77b CP subordonne la semi-détention à deux conditions cumulatives : il doit s'agir d'une peine privative de liberté de six mois à un an et il ne doit pas exister de danger de fuite ou de récidive. Une troisième condition découle directement du but de la semi-détention : le condamné doit disposer d'une activité professionnelle ou suivre une formation. En application du principe de la force dérogatoire du droit fédéral, les cantons ne peuvent pas soumettre le régime de la semi-détention à des conditions plus sévères que celles posées par l’art. 77b CP (ATF 145 IV 10 consid. 2.3). L’art. 5 al. 1 RSD (Règlement concordataire sur l’exécution des peines sous la forme de la semi-détention du 20 décembre 2017 ; BLV 340.95.3) précise notamment que, pour bénéficier de la semi-détention, la personne condamnée doit en avoir fait la demande (let. a), ne pas présenter de risque de fuite (let. b) ni de risque de réitération (let. c) et</w:t>
      </w:r>
    </w:p>
    <w:p>
      <w:r>
        <w:t>- 8 - poursuivre une activité professionnelle ou une formation reconnue avec un taux d’occupation d’au moins 20 heures par semaine, le travail domestique, le travail éducatif, la participation à un programme d'occupation ou tout autre occupation structurée étant réputés équivalents (let. f). 3.2 En l’espèce, force est de constater que l’OEP a raison quand il fait grief au recourant de n’avoir produit aucune pièce attestant d’une occupation avec un taux d’au moins 20 heures par semaine, au sens où l’entend l’art. 5 al. 1 let. f RSD. Du reste, comme déjà dit, le recourant ne prétend même pas avoir une telle occupation. Il s’ensuit que la condition relative à l’existence d’une telle occupation n’est pas réalisée, de sorte que la décision de refus de la semi-détention devrait de toute manière être confirmée. 4. Au vu de ce qui précède, le recours est irrecevable. Vu le sort du recours, les frais de la procédure, constitués du seul 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880 fr. (huit cent huitante francs), sont mis à la charge de H.________.</w:t>
      </w:r>
    </w:p>
    <w:p>
      <w:r>
        <w:t>- 9 - III. L’arrêt est exécutoire. La présidente : Le greffier : Du Le présent arrêt, dont la rédaction a été approuvée à huis clos, est notifié, par l'envoi d'une copie complète, à : - M. H.________,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octobre 2007 ; RS 312.0) relatives au recours. Le recours doit ainsi être adressé par écrit, dans un délai de dix jours dès la notification de la décision attaquée (art. 384 let. b CPP), à l’autorité de recours (art. 396 al. 1 CPP) qui est, dans le canton de Vaud, la</w:t>
      </w:r>
    </w:p>
    <w:p>
      <w:r>
        <w:t>- 5 - Chambre des recours pénale du Tribunal cantonal (art. 13 LVCPP [Loi vaudoise d’introduction du Code de procédure pénale suisse du 19 mai 2009 ; BLV 312.01] ; art. 80 LOJV [Loi vaudoise d’organisation judiciaire du 12 décembre 1979 ; BLV 173.01]).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