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AP22.014530 vom 17. August 2022</w:t>
      </w:r>
    </w:p>
    <w:p>
      <w:r>
        <w:t>VD Tribunal cantonal, 2022-08-17, FR</w:t>
      </w:r>
    </w:p>
    <w:p>
      <w:r>
        <w:rPr>
          <w:b/>
        </w:rPr>
        <w:t xml:space="preserve">Quelle: </w:t>
      </w:r>
      <w:r>
        <w:t>https://mcp.opencaselaw.ch/entscheid/vd_gerichte_AP22.014530</w:t>
      </w:r>
    </w:p>
    <w:p>
      <w:r>
        <w:t>FR: VD_GERICHTE AP22.014530 du 17 août 2022</w:t>
      </w:r>
    </w:p>
    <w:p>
      <w:r>
        <w:t>IT: VD_GERICHTE AP22.014530 del 17 agosto 2022</w:t>
      </w:r>
    </w:p>
    <w:p>
      <w:pPr>
        <w:pStyle w:val="Heading2"/>
      </w:pPr>
      <w:r>
        <w:t>Erwägungen</w:t>
      </w:r>
    </w:p>
    <w:p>
      <w:r>
        <w:rPr>
          <w:b/>
        </w:rPr>
        <w:t>E. 24</w:t>
      </w:r>
    </w:p>
    <w:p>
      <w:r>
        <w:t>février 2022 et l’a placé sous mandat d’arrêt, puis l’a signalé au RIPOL. B. a) Par requête du 14 juillet 2022, D.________, par l’intermédiaire de son conseil, a demandé à pouvoir toujours exécuter sa peine privative de liberté sous le régime de la semi-détention. Il a indiqué être en déplacement à l’étranger et s’est engagé à se présenter à la date fixée pour purger sa peine si ledit régime lui était octroyé. b) Par décision du 25 juillet 2022, l’Office d’exécution des peines a refusé d’accorder au condamné le régime de la semi-détention, considérant que D.________ n’était plus digne de la confiance nécessaire à l’octroi d’un tel régime compte tenu de ses antécédents judiciaires et de la confiance qu’il avait déjà trahie en ne donnant pas suite à la convocation de l’autorité d’exécution. C. Par acte du 5 août 2022, D.________ a recouru auprès de la Chambre de céans contre cette décision, en concluant, sous suite de frais et dépens, à sa réforme en ce sens que le régime de la semi-détention lui soit accordé pour exécuter sa peine privative de liberté. A titre subsidiaire, il a conclu à l’annulation de la décision entreprise et au renvoi de la cause à l’Office d’exécution des peines pour nouvelle instruction. Il n’a pas été ordonné d’échange d’écritures. En d roit : 1.</w:t>
      </w:r>
    </w:p>
    <w:p>
      <w:r>
        <w:t>- 6 - 1.1 Aux termes de l'art. 38 al. 1 LEP (Loi vaudoise sur l’exécution des condamnations pénales du 4 juillet 2006 ; BLV 340.01), les décisions rendues par l’Office d’exécution des peines – lequel est notamment compétent pour autoriser le condamné à exécuter sa peine sous la forme de la semi-détention (art. 19 al. 1 let. b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devant l’autorité compétente par un condamné qui a qualité pour recourir (art. 382 al. 1 CPP), le recours est recevable sous cet angle, sous réserve de ce qui sera exposé au considérant 2.1 ci-dessous. 1.3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w:t>
      </w:r>
    </w:p>
    <w:p>
      <w:r>
        <w:t>- 7 - Jugendstrafprozessordnung, 2e éd., Bâle 2014 [ci-après : Basler Kommentar], n. 1a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6B_191/2021 du 11 août 2021 consid. 2 ; TF 6B_510/2020 du 15 septembre 2020 consid. 2.2 ; TF 1B_472/2019 du 29 octobre 2019 consid. 3.1 ; Keller, in : Donatsch/Lieber/Summers/Wohlers [éd.], Zürcher Kommentar, Kommentar zur Schweizerischen Strafprozessordnung, 3e éd. 2020, n. 14 ad art. 396 StPO et les références citées ; Calame, in : Jeanneret et al. [éd.], Commentaire romand, Code de procédure pénale suisse, 2e éd. 2019, n. 21 ad art. 385 CPP ; Guidon, in : Basler Kommentar, op. cit., n. 9c ad art. 396 StPO et les références citées). 2. 2.1 Le recourant fait valoir qu’il remplirait toujours les conditions de la semi-détention. Il soutient qu’aucun « fait judiciaire » ne pourrait lui être reproché et relève que sa situation familiale demeurerait inchangée depuis le moment où le régime de la semi-détention lui avait été accordé, soulignant qu’il dirigerait seul une entreprise de cinq employés. Il prétend qu’il ne représenterait toujours aucun danger pour la sécurité d’autrui et expose qu’il ne s’est pas présenté à la convocation de l’Office d’exécution des peines dans l’unique but de pouvoir bénéficier d’une voie de recours</w:t>
      </w:r>
    </w:p>
    <w:p>
      <w:r>
        <w:t>- 8 - effective contre la décision de l’autorité d’exécution lui refusant le régime de la surveillance électronique, soulignant que le temps de traitement de son recours aurait dépassé son temps d’incarcération. Il reproche enfin à l’Office d’exécution des peines d’avoir agi de manière irraisonnable, pernicieuse et contraire à la bonne foi, et accuse cette autorité d’avoir pris des mesures de rétorsion à son encontre. Dans son acte, le recourant ne prend pas appui sur le raisonnement tenu dans la décision entreprise. Il tente de justifier le fait qu’il ne s’est pas présenté à l’Etablissement du Simplon le 23 avril 2022 pour exécuter sa peine, minimise la portée de ses infractions et soutient la thèse de mesures de rétorsion prises par l’autorité d’exécution. Ce faisant, il ne discute pas en quoi ce serait à tort que l’Office d’exécution des peines a retenu qu’il n’était pas digne de la confiance nécessaire à l’octroi du régime de la semi-détention, de sorte que la recevabilité du recours relativement aux exigences de motivation requises par l’art. 385 al. 1 CPP est douteuse. Cette question peut toutefois rester indécise dès lors que le recours doit de toute façon être rejeté pour les motifs qui suivent. 2.2 Aux termes de l'art. 77b al. 1 CP (Code pénal suisse du 21 décembre 1937 ; RS 311.0), une peine privative de liberté de 12 mois au plus ou un solde de peine de 6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 L’art. 5 al. 1 RSD (Règlement concordataire sur l’exécution des peines sous la forme de la semi-détention du 20 décembre 2017 ; BLV 340.95.3) dispose notamment que pour bénéficier de la semi-détention, la personne condamnée doit en avoir fait la demande (let. a), ne pas présenter de risque de fuite (let. b) ni de risque de réitération (let. c), être au bénéfice d’une autorisation de séjour en Suisse et avoir le droit de</w:t>
      </w:r>
    </w:p>
    <w:p>
      <w:r>
        <w:t>- 9 - travailler (let. d), ne pas faire l’objet d’une expulsion au sens des art. 66a et 66abis CP (let. e), poursuivre une activité professionnelle ou une formation reconnue avec un taux d’occupation d’au moins 20 heures par semaine (let. f) et présenter des garanties quant au respect des conditions-cadre de la semi-détention et du règlement de l’établissement d’exécution (let. g). Selon l’art. 20 al. 1 RSD, la personne qui bénéficie de ce régime doit payer une participation aux frais d’exécution de la peine. 2.3 Au regard du déroulement de la procédure, à l’instar de l’Office d’exécution des peines, il y a lieu de retenir que le recourant a démontré, par ses agissements, qu’il ne remplissait pas les conditions requises pour l’instauration du régime de la semi-détention. Il ressort en effet du dossier qu’après avoir sommé le condamné de se présenter à l’Etablissement du Simplon pour exécuter sa peine sous le régime de la semi-détention, l’Office d’exécution des peines a refusé de lui octroyer le régime de la surveillance électronique et que la requête d’effet suspensif assortissant le recours du condamné contre cette décision, outre qu’elle ne visait pas la bonne décision, a été rejetée. Le recourant n’ayant pas contesté l’ordre d’exécution de peine du 24 février 2022, il était tenu de se présenter le 23 avril 2022 à l’Etablissement du Simplon, ce qu’il n’a pas fait, quand bien même il avait été expressément informé des conséquences d’un tel défaut, à savoir qu’il serait arrêté et que le régime de la semi-détention ne lui serait plus accordé. En dépit de cette mise en garde très claire, il a choisi de ne pas se présenter sans motif justificatif et il doit en assumer les conséquences. En outre, il ne ressort pas du dossier, et le recourant ne le prétend pas, qu’il aurait payé à temps les frais d’exécution de sa peine sous le régime de la semi-détention. Quant au moyen tiré du délai nécessaire à la Chambre des recours pénale pour statuer sur son recours du 20 avril 2022 – qui aurait été plus long que la peine privative de liberté à exécuter –, il frise la témérité, l’arrêt rendu le</w:t>
      </w:r>
    </w:p>
    <w:p>
      <w:r>
        <w:rPr>
          <w:b/>
        </w:rPr>
        <w:t>E. 28</w:t>
      </w:r>
    </w:p>
    <w:p>
      <w:r>
        <w:t>avril 2022 par cette autorité lui ayant été notifié le 24 mai 2022. C’est ainsi à juste titre que l’autorité d’exécution a considéré, compte tenu des antécédents du recourant et du déroulement de la procédure, que la</w:t>
      </w:r>
    </w:p>
    <w:p>
      <w:r>
        <w:t>- 10 - condition de la garantie du respect des conditions-cadre de la semi- détention et du règlement de l’établissement d’exécution (art. 5 al. 1 let. g RSD) n’était pas réalisée et, partant, qu’elle a refusé de lui accorder le régime de la semi-détention. 3. Au vu de ce qui précède, le recours, manifestement mal fondé, doit être rejeté dans la mesure où il est recevable, sans échange d’écritures (art. 390 al. 2 CPP) et la décision du 25 juillet 2022 confirmée. Vu le sort du recours, les frais de la procédure, constitués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25 juillet 2022 est confirmée. III. Les frais d’arrêt, par 990 fr. (neuf cent nonante francs), sont mis à la charge de D.________. IV. L’arrêt est exécutoire. La présidente : La greffière :</w:t>
      </w:r>
    </w:p>
    <w:p>
      <w:r>
        <w:t>- 11 - Du Le présent arrêt, dont la rédaction a été approuvée à huis clos, est notifié, par l'envoi d'une copie complète, à : - M. D.________,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