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AP22.010245 vom 18. Juli 2022</w:t>
      </w:r>
    </w:p>
    <w:p>
      <w:r>
        <w:t>VD Tribunal cantonal, 2022-07-18, FR</w:t>
      </w:r>
    </w:p>
    <w:p>
      <w:r>
        <w:rPr>
          <w:b/>
        </w:rPr>
        <w:t xml:space="preserve">Quelle: </w:t>
      </w:r>
      <w:r>
        <w:t>https://mcp.opencaselaw.ch/entscheid/vd_gerichte_AP22.010245</w:t>
      </w:r>
    </w:p>
    <w:p>
      <w:r>
        <w:t>FR: VD_GERICHTE AP22.010245 du 18 juillet 2022</w:t>
      </w:r>
    </w:p>
    <w:p>
      <w:r>
        <w:t>IT: VD_GERICHTE AP22.010245 del 18 luglio 2022</w:t>
      </w:r>
    </w:p>
    <w:p>
      <w:pPr>
        <w:pStyle w:val="Heading2"/>
      </w:pPr>
      <w:r>
        <w:t>Erwägungen</w:t>
      </w:r>
    </w:p>
    <w:p>
      <w:r>
        <w:rPr>
          <w:b/>
        </w:rPr>
        <w:t>E. 1.1</w:t>
      </w:r>
    </w:p>
    <w:p>
      <w:r>
        <w:t>Aux termes de l'art. 38 al. 1 LEP (loi sur l'exécution des condamnations pénales du 4 juillet 2006 ; BLV 340.01), les décisions rendues par l'OEP – lequel est compétent pour autoriser la personne condamnée à exécuter sa peine sous la forme de la semi-détention ou de la surveillance électronique (art. 19 al. 1 let. b et 20 al. 2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d'organisation judiciaire du 12 septembre 1979 ; BLV 173.01]).</w:t>
      </w:r>
    </w:p>
    <w:p>
      <w:r>
        <w:rPr>
          <w:b/>
        </w:rPr>
        <w:t>E. 1.2</w:t>
      </w:r>
    </w:p>
    <w:p>
      <w:r>
        <w:t>Interjeté dans le délai légal, auprès de l'autorité compétente, par un condamné qui a qualité pour recourir (art. 382 al. 1 CPP) et dans les formes prescrites (art. 385 al. 1 CPP), le recours est recevable.</w:t>
      </w:r>
    </w:p>
    <w:p>
      <w:r>
        <w:rPr>
          <w:b/>
        </w:rPr>
        <w:t>E. 2.1</w:t>
      </w:r>
    </w:p>
    <w:p>
      <w:r>
        <w:t>Le recourant conteste le refus de lui permettre d’exécuter sa peine privative de liberté sous la forme d’une semi-détention et d’une surveillance électronique, faisant valoir qu’il a reçu une formation de machiniste et doit encore suivre des cours, faute de quoi il devra</w:t>
      </w:r>
    </w:p>
    <w:p>
      <w:r>
        <w:t>- 4 - rembourser sa formation à son entreprise, ce qui aurait pu être évité s’il avait été convoqué en janvier 2023. Il soutient en outre être seul en charge d’une famille avec quatre enfants. Il demande que soient déduits des 15 mois de peine ferme les jours de détention provisoire, d’avoir par ailleurs la possibilité de subir sa peine pendant la période des vacances et sollicite une réduction pour bonne conduite à venir. Enfin, il relève qu’il a un suivi médical ensuite d’un accident et que ce mode d’exécution allégerait les coûts sociaux.</w:t>
      </w:r>
    </w:p>
    <w:p>
      <w:r>
        <w:rPr>
          <w:b/>
        </w:rPr>
        <w:t>E. 2.2.1</w:t>
      </w:r>
    </w:p>
    <w:p>
      <w:r>
        <w:t>Aux termes de l'art. 77b al. 1 CP (Code pénal suisse du 21 décembre 1937 ; RS 311.0), une peine privative de liberté de 12 mois au plus ou un solde de peine de six mois au plus après imputation de la détention subie avant le jugement peuvent, à la demande du condamné, être exécutés sous la forme de la semi-détention, s'il n'y a pas lieu de craindre que le condamné s'enfuie ou commette d'autres infractions (let. a), et si le condamné exerce une activité régulière, qu'il s'agisse d'un travail, d'une formation ou d'une occupation, pendant au moins 20 heures par semaine (let. b). La semi-détention doit permettre au condamné de conserver son travail ou sa place de formation et prévenir ainsi le danger de coupure avec le monde professionnel. L'art. 77b CP prévoit deux domaines d’application différents. D’une part, la semi-détention est possible pour les peines privatives de liberté n’excédant pas 12 mois et c’est, dans ce cas, la peine privative de liberté ordonnée par le tribunal qui est déterminante pour la durée maximale de 12 mois (peine dite brute) (Koller, in : Niggli/Wiprächtiger [éd.], Basler Kommentar, Strafrecht I, 4e éd., Bâle 2019 [ci-après : Basler Kommentar StGB], n. 6 ad art. 77b CP). D’autre part, ce mode d’exécution est envisageable lorsque le solde d’une peine privative de liberté de plus de 12 mois n’excède pas 6 mois après déduction de la détention provisoire, qui doit obligatoirement être imputée sur la peine selon l’art. 51 CP (peine dite nette) (Koller, in : Basler Kommentar StGB, op. cit., n. 7 ad art. 77b CP) ; dans ce cas, c’est la durée de la peine privative de liberté restant effectivement à exécuter après déduction de la détention provisoire qui est déterminante, et non la durée de la peine fixée dans le jugement. Hormis ce cas particulier, la semi-</w:t>
      </w:r>
    </w:p>
    <w:p>
      <w:r>
        <w:t>- 5 - détention est exclue si la peine privative de liberté ordonnée par le tribunal est supérieure à douze mois, et ce même si la peine privative de liberté restant à exécuter après déduction de la détention préventive ne dépasse pas la limite d'un an (ibid. ; TF 6B_222/2008 consid. 1.3 et la référence citée). Selon l’art. 3 al. 1 RSD (règlement concordataire sur l'exécution des peines sous la forme de la semi-détention du 20 décembre 2017 ; BLV 340.95.3), la semi-détention est admissible à condition que la peine prononcée ou la durée totale des peines exécutables simultanément : soit inférieure à 12 mois, la détention provisoire ou pour des motifs de sûreté n'étant pas prise en compte dans le calcul (principe brut) [le principe brut signifiant que l'examen des conditions temporelles se fonde sur la durée de la peine prononcée, sans imputation de la détention déjà effectuée] (let. a), ou soit supérieure à 12 mois mais que, compte tenu de la détention provisoire ou pour des motifs de sûreté, 6 mois au maximum doivent être exécutés (principe net) [le principe net signifiant que l'examen des conditions temporelles se fonde sur la durée de la peine prononcée, avec imputation de la détention déjà effectuée] (let. b). L’art. 3 al. 2 RSD précise que, pour les peines avec sursis partiel, la partie ferme est déterminante. La condition prévue par l’art. 77b al. 1 CP, reprise à l’art. 3 al. 1 let. b RSD, selon laquelle en cas de condamnation à une peine privative de liberté de plus de douze mois, la peine restant à exécuter après imputation de la détention provisoire ne doit pas être supérieure à 6 mois, se justifie par le fait que les peines privatives de liberté supérieures à 12 mois entrent dans une catégorie de criminalité plus conséquente, avec des implications en terme de sécurité ; a fortiori en va-t-il de même lorsque la peine ferme à exécuter résulte de l’octroi d’un sursis partiel sur une peine totale qui peut aller jusqu’à trente-six mois (Viredaz, in : Moreillon/Macaluso/ Quéloz/Dongois [éd.], Commentaire romand, Code pénal, 2e éd., Bâle 2021, n. 4 ad art. 77b CP et les références citées)</w:t>
      </w:r>
    </w:p>
    <w:p>
      <w:r>
        <w:t>- 6 -</w:t>
      </w:r>
    </w:p>
    <w:p>
      <w:r>
        <w:rPr>
          <w:b/>
        </w:rPr>
        <w:t>E. 2.2.2</w:t>
      </w:r>
    </w:p>
    <w:p>
      <w:r>
        <w:t>L’art.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20 jours à 12 mois (let. a), ou à la place du travail externe ou du travail et logement externes, pour une durée de 3 à 12 mois (let. b). Selon l’art. 79b al. 2 CP, l’autorité compétente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L’art. 2 RESE (règlement concordataire du 20 décembre 2017 sur l'exécution des peines privatives de liberté sous surveillance électronique ; BLV 340.95.5) confirme que la surveillance électronique n’est admissible qu’à la condition que la peine prononcée ou la durée totale des peines soit comprise entre 20 jours au minimum et 12 mois au maximum (al. 1), que la détention provisoire ou pour des motifs de sûreté n’étant pas prise en compte dans le calcul (principe brut) (al. 2) et que, pour les peines avec sursis partiel, la durée totale de la peine (partie avec sursis et partie ferme) est déterminante (al. 3).</w:t>
      </w:r>
    </w:p>
    <w:p>
      <w:r>
        <w:rPr>
          <w:b/>
        </w:rPr>
        <w:t>E. 2.3</w:t>
      </w:r>
    </w:p>
    <w:p>
      <w:r>
        <w:t>En l’espèce, les arguments de l’OEP sont pertinents et son appréciation, à laquelle la Chambre de céans se réfère intégralement, ne prête pas le flanc à la critique. Le recourant a été condamné le 13 janvier 2020 par le Tribunal correctionnel de l’arrondissement de l’Est vaudois à une peine privative de liberté globale de 30 mois, dont la moitié ferme, soit 15 mois, sous déduction de 19 jours de détention provisoire et de 2 jours de détention dans des conditions illicites. Les dispositions légales et règlementaires rappelées ci-avant (cf. consid. 2.2 supra) ne permettent</w:t>
      </w:r>
    </w:p>
    <w:p>
      <w:r>
        <w:t>- 7 - objectivement pas au recourant l’exécution de sa peine sous la forme de l’une ou l’autre modalité demandée. S’agissant de la surveillance électronique, c’est l’entier de la peine qui doit être pris en compte. Or, les 30 mois de peine privative de liberté dépassent largement la limite des 12 mois permettant ce régime. Quant à la semi-détention, la peine ferme prononcée dans le jugement est de 15 mois, soit là également bien au-delà des 12 mois admissibles. Cela étant, avec les déductions que le recourant souhaiterait faire prendre en compte, force est de constater que le solde de la peine à exécuter, après imputation des jours de détention provisoire déjà exécutés, reste de toute manière supérieure à la durée limite posée par cette disposition. Il en découle que tant pour la semi-détention que pour la surveillance électronique, l’une des conditions cumulatives des art. 77b et 79b CP n’est pas remplie, ce qui exclut ces deux régimes. Pour le surplus, les autres motifs invoqués par le recourant – soit en substance qu’il demande, pour conserver son emploi, la possibilité de subir sa peine pendant la période des vacances ainsi qu’une réduction pour bonne conduite à venir –, ne permettent pas de déroger à l’application de la loi, notamment par opportunité. Il est vrai que le recourant pourrait perdre son emploi à la suite de l'exécution de la peine. C'est toutefois le cas de tous les condamnés qui ont un emploi et qui doivent exécuter leur peine, de sorte que cette éventualité ne saurait constituer, à elle seule, un motif d’octroi d’un régime alternatif. De plus, les actes qu’il a commis, pour lesquels il a été condamné à la peine privative de liberté totale de 30 mois précitée, sont très graves et entrent dans la catégorie d’une criminalité conséquente, avec des implications en terme de sécurité. Ainsi, le refus du régime de la semi-détention ou de la surveillance électronique est justifié.</w:t>
      </w:r>
    </w:p>
    <w:p>
      <w:r>
        <w:t>- 8 -</w:t>
      </w:r>
    </w:p>
    <w:p>
      <w:r>
        <w:rPr>
          <w:b/>
        </w:rPr>
        <w:t>E. 3</w:t>
      </w:r>
    </w:p>
    <w:p>
      <w:r>
        <w:t>En définitive, il résulte de ce qui précède que le recours, manifestement mal fondé, doit être rejeté sans échange d'écritures (art. 390 al. 2 CPP) et la décision entreprise confirmée. Les frais d'arrêt, par 770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25 mai 2022 est confirmée. III. Les frais de la procédure de recours, par 770 fr. (sept cent septante francs), sont mis à la charge d’F.________. IV. L’arrêt est exécutoire. La présidente : La greffière : Du Le présent arrêt, dont la rédaction a été approuvée à huis clos, est notifié, par l'envoi d'une copie complète, à : - M. F.________, - Ministère public central, et communiqué à : - Office d’exécution des peines,</w:t>
      </w:r>
    </w:p>
    <w:p>
      <w:r>
        <w:t>- 9 -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