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AP22.009450 vom 17. August 2022</w:t>
      </w:r>
    </w:p>
    <w:p>
      <w:r>
        <w:t>VD Tribunal cantonal, 2022-08-17, FR</w:t>
      </w:r>
    </w:p>
    <w:p>
      <w:r>
        <w:rPr>
          <w:b/>
        </w:rPr>
        <w:t xml:space="preserve">Quelle: </w:t>
      </w:r>
      <w:r>
        <w:t>https://mcp.opencaselaw.ch/entscheid/vd_gerichte_AP22.009450</w:t>
      </w:r>
    </w:p>
    <w:p>
      <w:r>
        <w:t>FR: VD_GERICHTE AP22.009450 du 17 août 2022</w:t>
      </w:r>
    </w:p>
    <w:p>
      <w:r>
        <w:t>IT: VD_GERICHTE AP22.009450 del 17 agosto 2022</w:t>
      </w:r>
    </w:p>
    <w:p>
      <w:pPr>
        <w:pStyle w:val="Heading2"/>
      </w:pPr>
      <w:r>
        <w:t>Erwägungen</w:t>
      </w:r>
    </w:p>
    <w:p>
      <w:r>
        <w:rPr>
          <w:b/>
        </w:rPr>
        <w:t>E. 1.1</w:t>
      </w:r>
    </w:p>
    <w:p>
      <w:r>
        <w:t>L’art. 26 al. 1 let. a LEP (Loi vaudoise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w:t>
      </w:r>
    </w:p>
    <w:p>
      <w:r>
        <w:t>- 13 -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par le condamné qui a qualité pour recourir (art. 382 al. 1 CPP), dans les formes prescrites (art. 385 al. 1 CPP), le recours est recevable.</w:t>
      </w:r>
    </w:p>
    <w:p>
      <w:r>
        <w:rPr>
          <w:b/>
        </w:rPr>
        <w:t>E. 2.1</w:t>
      </w:r>
    </w:p>
    <w:p>
      <w:r>
        <w:t>;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 TF 6B_525/2021 précité). Afin de procéder à un pronostic différentiel, il sied de comparer les avantages et désavantages de l’exécution de la peine avec la libération conditionnelle (ATF 124 IV 193 précité consid. 4a et consid. 5b/bb ; TF 6B_525/2021 précité et les arrêts cités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w:t>
      </w:r>
    </w:p>
    <w:p>
      <w:r>
        <w:t>- 16 - l’importance des biens juridiques menacés (TF 6B_420/2022 précité ; TF 6B_525/2021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w:t>
      </w:r>
    </w:p>
    <w:p>
      <w:r>
        <w:rPr>
          <w:b/>
        </w:rPr>
        <w:t>E. 2.2.1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w:t>
      </w:r>
    </w:p>
    <w:p>
      <w:r>
        <w:t>- 15 - son comportement en général et dans le cadre des délits qui sont à l’origine de sa condamnation, le degré de son éventuel amendement ainsi que les conditions dans lesquelles il est à prévoir qu’il vivra (ATF 133 IV 201 précité consid. 2.2 et 2.3 ; TF 6B_420/2022 du 6 juillet 2022 consid.</w:t>
      </w:r>
    </w:p>
    <w:p>
      <w:r>
        <w:rPr>
          <w:b/>
        </w:rPr>
        <w:t>E. 2.2.2</w:t>
      </w:r>
    </w:p>
    <w:p>
      <w:r>
        <w:t>Selon l’art. 182 CPP, le ministère public ou les tribunaux ont recours à un ou plusieurs experts lorsqu’ils ne disposent pas des connaissances et des capacités nécessaires pour constater ou juger un état de fait. L’expertise est une mesure d’instruction nécessitant des connaissances spéciales ou des investigations complexes, confiées à des spécialistes, pour qu’ils informent le juge sur des questions de fait excédant sa compétence technique ou scientifique (TF 1B_213/2020 du</w:t>
      </w:r>
    </w:p>
    <w:p>
      <w:r>
        <w:rPr>
          <w:b/>
        </w:rPr>
        <w:t>E. 2.3</w:t>
      </w:r>
    </w:p>
    <w:p>
      <w:r>
        <w:t>En l’espèce, le recourant a purgé les deux tiers de sa peine et son comportement, tant en détention qu’au travail, bien qu’il ne soit pas exempt de tout reproche, ne s’oppose pas à son élargissement, de sorte que les deux premières conditions à sa libération conditionnelle sont</w:t>
      </w:r>
    </w:p>
    <w:p>
      <w:r>
        <w:t>- 17 - réalisées. Seule reste donc litigieuse la question du pronostic relatif à son comportement futur. A cet égard, la juge d’application des peines a retenu, à juste titre, son caractère défavorable, relevant en particulier l’antécédent du condamné au [...] pour des violences conjugales, étant précisé avec la juge d’application des peines et le recourant qu’il ne s’agissait pas de violences sexuelles, contrairement à ce que le jugement de la Cour d’appel du Tribunal cantonal avait retenu. Elle a en outre fondé son appréciation sur le rapport d’expertise psychiatrique du 8 avril 2020, dès lors que celui-ci considère le risque que le recourant commette à nouveau des actes de violence sexuelle envers une travailleuse du sexe ou dans une relation sentimentale comme moyen à élevé, et que les experts soulignent que la forme active – quasi obsessionnelle – que paraissait avoir pris sa quête de rendez-vous avec des prostituées, était particulièrement inquiétante. Dans ce rapport, les experts ont également précisé que le traitement préconisé pourrait permettre un assouplissement des traits de caractère pathologiques du condamné et l’aider à trouver des alternatives au passage à l’acte. Ainsi, contrairement à ce que soutient le recourant, qui se fonde sur ses déclarations effectuées lors de son audience du 23 juin 2022 devant la juge d’application des peines, rien ne permet d’affirmer que ce rapport, tout comme son complément daté du 26 mai 2020, seraient obsolètes. En effet, ces déclarations ne remettent pas en question ce rapport ni son complément, qui sont au par ailleurs récents, ce d’autant plus que le traitement ordonné n’a débuté qu’au mois de mai 2022. Le recourant ne saurait non plus être suivi lorsqu’il affirme que sa prétendue prise de conscience rendrait faible le risque de récidive, celui-ci ayant déclaré lors de l’audience du 23 juin 2022, qu’il ne se reconnaissait pas dans le diagnostic émis par les experts et ce, même s’il semble reconnaître désormais ses délits. A cet égard, le rapport du SMPP du 7 juillet 2022 a relevé que le recourant avait tendance à se focaliser sur des plaintes somatiques lors des entretiens, de sorte que l’alliance thérapeutique était en construction et que le travail psychothérapeutique n’était à ce stade pas source d’une remise en question. Par ailleurs, il convient de relever</w:t>
      </w:r>
    </w:p>
    <w:p>
      <w:r>
        <w:t>- 18 - que tous les préavis sont négatifs. En effet, tant la direction de la prison de la Croisée (cf. supra let. A/i) que l’OEP (cf. supra let. B/a) et le Ministère public (cf. supra let. B/d), ont émis des préavis défavorables relatifs à la libération conditionnelle du recourant. Enfin, s’il est exact que ce dernier a pris des mesures pour sa réinsertion au [...] (inscription à l’Université de [...], promesse d’embauche et contact avec une psychologue), une libération conditionnelle assortie de son expulsion du territoire suisse le placerait dans une situation où il pourrait à tout moment décider de mettre fin à son suivi, ce qui n’est évidemment pas le cas du traitement judiciaire actuel poursuivi en détention ; il y a donc un bénéfice à attendre de la poursuite de l’exécution de la peine que la libération conditionnelle ne permettrait d’atteindre. Au vu de ce qui précède, la juge d’application des peines n’a pas violé l’art. 86 CP en posant un pronostic défavorable et en refusant la libération conditionnelle au recourant. 3. En définitive, le recours, manifestement mal fondé, doit être rejeté sans échange d’écritures (art. 390 al. 2 CPP) et l’ordonnance entreprise confirmée. Me David Parisod a produit une liste d’opérations faisant état de 6,1 heures consacrées à la procédure de recours (P. 21/3 et P. 21/4). La durée est excessive au vu de la nature de l’affaire et du mémoire de recours déposé, 3 h 00 apparaissant suffisantes à un avocat breveté pour prendre connaissance de l’ordonnance litigieuse, rédiger l’acte de recours, effectuer les éventuelles recherches juridiques et assurer l’éventuel suivi à intervenir. En définitive, il convient donc de retenir une activité d’avocat de 3 h 00 au tarif horaire de 180 fr., de sorte que l’indemnité d’office doit être fixée à 540 fr., montant auquel s’ajoutent des débours forfaitaires à concurrence de 2 % des honoraires admis (art. 3bis al. 1 RAJ [Règlement du</w:t>
      </w:r>
    </w:p>
    <w:p>
      <w:r>
        <w:rPr>
          <w:b/>
        </w:rPr>
        <w:t>E. 4</w:t>
      </w:r>
    </w:p>
    <w:p>
      <w:r>
        <w:t>août 2020 consid. 3.2 et les réf.). Selon la jurisprudence constante, le juge peut se fonder sur une expertise qui figure déjà au dossier si celle-ci est encore suffisamment actuelle. L'élément déterminant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(ATF 134 IV 246 consid. 4.3 ; ATF 128 IV 241 consid. 3.4 ; TF 6B_1080/2021 du 8 décembre 2021 consid. 2.5.1 et les réf.).</w:t>
      </w:r>
    </w:p>
    <w:p>
      <w:r>
        <w:rPr>
          <w:b/>
        </w:rPr>
        <w:t>E. 7</w:t>
      </w:r>
    </w:p>
    <w:p>
      <w:r>
        <w:t>décembre 2010 sur l’assistance judiciaire en matière civile ; BLV 211.02.3], applicable par renvoi de l’art. 26b TFIP [Tarif des frais de procédure et indemnités en matière pénale du 28 septembre 2010 ; BLV</w:t>
      </w:r>
    </w:p>
    <w:p>
      <w:r>
        <w:t>- 19 - 312.03.1]), par 10 fr. 80, et la TVA au taux de 7,7 %, par 42 fr. 40, soit à 594 fr. au total en chiffres arrondis. Vu le sort du recours, les frais de la procédure, constitués de l’émolument d’arrêt, par 1’870 fr. (art. 20 al. 1 TFIP), et des frais imputables à la défense d’office d’O.________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29 juillet 2022 est confirmée. III. L’indemnité allouée au défenseur d’office d’O.________ est fixée à 594 fr. (cinq cent nonante quatre francs). IV. Les frais d’arrêt, par 1’870 fr. (mille huit cent septante francs), ainsi que l’indemnité due au défenseur d’office du recourant, par 594 fr (cinq cent nonante quatre francs), sont mis à la charge d’O.________. V. Le remboursement à l’Etat de l’indemnité allouée au chiffre III ci-dessus ne sera exigible que pour autant que la situation financière d’O.________ le permette.</w:t>
      </w:r>
    </w:p>
    <w:p>
      <w:r>
        <w:t>- 20 - VI. L’arrêt est exécutoire. La présidente : La greffière : Du Le présent arrêt, dont la rédaction a été approuvée à huis clos, est notifié, par l’envoi d’une copie complète, à : - Me David Parisod (avocat pour O.________), - Ministère public central, et communiqué à : - Mme la Juge d’application des peines, - Mme la Procureure du Ministère public de l’arrondissement de Lausanne, - Office d’exécution des peines (réf. OEP/PPL156290/VRI/NJ),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- 21 -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