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AP22.005165 vom 4. Juli 2022</w:t>
      </w:r>
    </w:p>
    <w:p>
      <w:r>
        <w:t>VD Tribunal cantonal, 2022-07-04, FR</w:t>
      </w:r>
    </w:p>
    <w:p>
      <w:r>
        <w:rPr>
          <w:b/>
        </w:rPr>
        <w:t xml:space="preserve">Quelle: </w:t>
      </w:r>
      <w:r>
        <w:t>https://mcp.opencaselaw.ch/entscheid/vd_gerichte_AP22.005165</w:t>
      </w:r>
    </w:p>
    <w:p>
      <w:r>
        <w:t>FR: VD_GERICHTE AP22.005165 du 4 juillet 2022</w:t>
      </w:r>
    </w:p>
    <w:p>
      <w:r>
        <w:t>IT: VD_GERICHTE AP22.005165 del 4 luglio 2022</w:t>
      </w:r>
    </w:p>
    <w:p>
      <w:pPr>
        <w:pStyle w:val="Heading2"/>
      </w:pPr>
      <w:r>
        <w:t>Erwägungen</w:t>
      </w:r>
    </w:p>
    <w:p>
      <w:r>
        <w:rPr>
          <w:b/>
        </w:rPr>
        <w:t>E. 6</w:t>
      </w:r>
    </w:p>
    <w:p>
      <w:r>
        <w:t>août 2022. En d roit : 1. 1.1 Aux termes de l'art. 38 al. 1 LEP (Loi sur l’exécution des condamnations pénales du 4 juillet 2006 ; BLV 340.01), les décisions rendues par l’Office d’exécution des peines – lequel est notamment compétent pour autoriser le condamné à exécuter sa peine sous la forme de la semi-détention, ainsi que suspendre et interrompre l’exécution d’un tel régime (art. 19 al. 1 let. b LEP) – peuvent faire l'objet d'un recours auprès du Tribunal cantonal. Selon l'art. 38 al. 2 LEP, la procédure est régie par les dispositions du CPP (Code de procédure pénale suisse du 5 octobre 2007 ; RS 312.0) relatives au recours. Le recours doit ainsi être</w:t>
      </w:r>
    </w:p>
    <w:p>
      <w:r>
        <w:t>- 8 -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le recours a été interjeté en temps utile, auprès de l'autorité compétente, par le condamné qui a qualité pour recourir (art. 382 al. 1 CPP). Par moment difficilement compréhensible, il est recevable dans la mesure de ce qui va suivre. 2. 2.1 Le recourant conteste le refus de l’OEP de lui accorder le régime de la semi-détention. Il se prévaut de la convention qui a été ratifiée par la Présidente du Tribunal civil de l’arrondissement de l’Est vaudois et annexée au prononcé qu’elle a rendu le 14 janvier 2020, rappelant qu’il est convenu qu’il exerce une autorité parentale conjointe, qu’il bénéficie d’un libre et large droit de visite et qu’il amène F.________ les mardis, jeudis et samedis à ses entraînements et matchs de football. Il ajoute que les indications fournies par V.________, dont l’activité professionnelle serait toujours la même que celle ressortant du prononcé rendu le 14 janvier 2020 par le Tribunal civil, seraient erronées et ne correspondraient pas au temps qu’il consacrerait réellement à la garde de leurs enfants. Le recourant soutient qu’il s’occuperait de ceux-ci les lundis, mardis et jeudis de 16 h 30 à 19 h 30, les mercredis de 12 h à 19 h 00, un week-end sur deux le samedi de 8 h 30 à 18 h 00 et le dimanche de 9 h 45 à 17 h 00 ainsi qu’un week-end sur deux le samedi de 8 h 00 à 14 h 00, sans compter le temps pour amener B.P.________ le matin à l’école et les repas de midi des lundis, mardis et jeudis (cf. annexe 2 au recours). F.________ pourrait le confirmer. Enfin, le recourant requiert l’octroi du régime de la semi-détention afin de ne pas se « retrouver en défaut par rapport aux entretiens des enfants soit le montant des pensions ».</w:t>
      </w:r>
    </w:p>
    <w:p>
      <w:r>
        <w:t>- 9 - 2.2 Aux termes de l'art. 77b al. 1 CP (Code pénal suisse du 21 décembre 1937; RS 311.0),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En application du principe de la force dérogatoire du droit fédéral, les cantons ne peuvent pas soumettre le régime de la semi- 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et poursuivre une activité professionnelle ou une formation reconnue avec un taux d’occupation d’au moins 20 heures par semaine, le travail domestique, le travail éducatif, la participation à un programme d'occupation ou tout autre occupation structurée étant réputés équivalents (let. f). 2.3 En l’espèce, par l’intermédiaire de son défenseur, A.P.________ a indiqué, par courriel du 23 mai 2022, qu’il aurait « la responsabilité de</w:t>
      </w:r>
    </w:p>
    <w:p>
      <w:r>
        <w:t>- 10 - ses enfants par une garde alternée une semaine du lundi au jeudi et le week-end et la semaine suivante du lundi au vendredi », ainsi qu’un week- end sur deux, dès lors que leur mère travaillait le samedi et qu’elle était engagée à plein temps. Le 24 mai 2022, puis le 30 mai suivant, l’OEP a demandé au recourant de produire toute pièce attestant d’une garde partagée (avec mention claire des jours et des horaires) ainsi que les horaires d’école des enfants. Le recourant n’a toutefois produit aucun de ces documents. En outre, la convention annexée au prononcé rendu le 14 janvier 2020 par la Présidente du Tribunal civil de l’arrondissement de l’Est vaudois ne prévoit pas une garde partagée, mais confie la garde des enfants exclusivement à leur mère avec un libre et large droit de visite de A.P.________, qui, fixé à défaut d’entente, ne correspond pas à 20 heures hebdomadaires. Enfin, il ressort de cette convention que les enfants ne dorment pas chez le recourant. L’argument fondé sur l’existence d’une garde alternée est donc mal fondé. Par ailleurs, par courriel du 31 mai 2022, V.________ a indiqué que A.P.________ s’occupait de leurs enfants, tous les lundis et jeudis de 17 h 00 à 19 h 00, les mercredis de 12 h 00 à 19 h 00 et un week-end sur deux, le samedi de 8 h 30 à 18 h 00 et le dimanche de 9 h 00 à 17 h 00, ainsi que durant la moitié des vacances scolaires. Par courriers du 16 juin 2022, [...] et les parents de A.P.________ ont indiqué que celui-ci gardait ses enfants les lundis et jeudis de 17 h 00 à 19 h 00, les mercredis de 12 h 00 à 18 h 00 ainsi qu’un week-end sur deux. Il ressort de ces pièces que le recourant s’occuperait de ses enfants à raison de 10 ou 11 heures entre les lundis et les jeudis et qu’il les aurait auprès de lui également une semaine sur deux les journées des samedis et dimanches. Ces documents sont par conséquent insuffisants pour démontrer que A.P.________ exercerait un droit de visite toutes les semaines à raison de 20 heures au moins. Quant au courriel adressé le 19 juin 2022 par V.________, indiquant qu’il serait convenu que A.P.________ garde leurs enfants du lundi au samedi de 8 h 30 à 19 h 00 du 4 juillet au 4 août 2022, il ne concerne que les vacances scolaires.</w:t>
      </w:r>
    </w:p>
    <w:p>
      <w:r>
        <w:t>- 11 - Le recourant soutient certes que les informations données par V.________ dans son courriel du 31 mai 2022 seraient erronées. Celles-ci sont toutefois corroborées par les déclarations écrites des proches du recourant qui ne font pas état que A.P.________ garderait ses enfants pour les repas de midi, ni qu’il les aurait de 16 h 30 jusqu’à 19 h 30 les lundis et jeudis et encore moins tous les mardis comme il l’affirme dans l’annexe 2 de son recours. En outre, le recourant n'apporte pas d’éléments permettant de mettre en doute la force probante de ces déclarations. Enfin, le recourant ne conteste pas qu’il n’a pas produit de document attestant de son activité d’entraîneur de football. Quant à l’argument selon lequel il se retrouverait en « défaut par rapport aux entretiens des enfants soit le montant des pensions », il tombe à faux dès lors que l’intéressé n’a pas de travail et que la convention signée les 27 mai et 4 juin 2019 prévoit qu’il n’est pas tenu de contribuer financièrement à l’entretien de ses enfants. En définitive, les documents produits par le recourant ne permettent pas de retenir qu’il s’occuperait de ses enfants au moins 20 heures par semaine, de sorte que c’est à juste titre que l’OEP a considéré qu’il ne remplissait pas les conditions pour exécuter ses peines privatives de liberté sous le régime de la semi-détention. 3. Au vu de ce qui précède, le recours, manifestement mal fondé, doit être rejeté, dans la mesure où il est recevable, sans échange d’écritures (art. 390 al. 2 CPP) et la décision du 10 juin 2022 confirmée. Les frais de la procédure de recours, constitués en l’espèce de l’émolument d'arrêt, par 1’210 fr. (art. 20 al. 1 TFIP [Tarif des frais judiciaires de procédure et indemnités en matière pénale du 28 septembre 2010 ; BLV 312.03.1]), seront mis à la charge du recourant, qui succombe (cf. art. 428 al. 1 CPP).</w:t>
      </w:r>
    </w:p>
    <w:p>
      <w:r>
        <w:t>- 12 - Par ces motifs, la Chambre des recours pénale prononce : I. Le recours est rejeté dans la mesure où il est recevable. II. La décision du 10 juin 2022 est confirmée. III. Les frais d’arrêt, par 1’210 fr. (mille deux cent dix francs), sont mis à la charge de A.P.________. IV. L’arrêt est exécutoire. La présidente : La greffière : Du Le présent arrêt, dont la rédaction a été approuvée à huis clos, est notifié, par l'envoi d'une copie complète, à : - M. A.P.________, - Ministère public central, et communiqué à : - Office d’exécution des peines, - Me Kathrin Gruber, avocate (pour A.P.________),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