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AP22.003748 vom 28. Juni 2022</w:t>
      </w:r>
    </w:p>
    <w:p>
      <w:r>
        <w:t>VD Tribunal cantonal, 2022-06-28, FR</w:t>
      </w:r>
    </w:p>
    <w:p>
      <w:r>
        <w:rPr>
          <w:b/>
        </w:rPr>
        <w:t xml:space="preserve">Quelle: </w:t>
      </w:r>
      <w:r>
        <w:t>https://mcp.opencaselaw.ch/entscheid/vd_gerichte_AP22.003748</w:t>
      </w:r>
    </w:p>
    <w:p>
      <w:r>
        <w:t>FR: VD_GERICHTE AP22.003748 du 28 juin 2022</w:t>
      </w:r>
    </w:p>
    <w:p>
      <w:r>
        <w:t>IT: VD_GERICHTE AP22.003748 del 28 giugno 2022</w:t>
      </w:r>
    </w:p>
    <w:p>
      <w:pPr>
        <w:pStyle w:val="Heading2"/>
      </w:pPr>
      <w:r>
        <w:t>Erwägungen</w:t>
      </w:r>
    </w:p>
    <w:p>
      <w:r>
        <w:rPr>
          <w:b/>
        </w:rPr>
        <w:t>E. 3</w:t>
      </w:r>
    </w:p>
    <w:p>
      <w:r>
        <w:t>En définitive, le recours, manifestement mal fondé, doit être rejeté sans échange d’écritures (art. 390 al. 2 CPP) et l’ordonnance entreprise confirmée. Me Elisabeth Chappuis a produit une liste d’opérations faisant état de 8,3 heures consacrées à la procédure de recours (P. 30/2), dont 5 heures dévolues à la rédaction du mémoire de recours, 1 heure à des recherches juridiques, 0,5 heure à la vérification de pièces, 0,4 heure à la prise de connaissance de l’ordonnance entreprise, 0,4 heure à l’envoi du recours et à la rédaction d’une lettre à son client et 1 heure au titre de « suivi divers à intervenir ». La durée est excessive au vu de la nature de l’affaire et du mémoire de recours déposé, 4 heures apparaissant suffisantes à une avocate brevetée pour prendre connaissance de l’ordonnance litigieuse, rédiger l’acte de recours et effectuer les éventuelles recherches juridiques, et 1 heure supplémentaire pour envoyer deux courriers, vérifier des pièces et assurer l’éventuel suivi à intervenir. En définitive, il convient donc de retenir une activité d’avocate de 5 heures au tarif horaire de 180 fr., de sorte que l’indemnité d’office doit être fixée à 900 fr., montant auquel s’ajoutent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18 fr., et la TVA au taux de 7,7 %, par 70 fr. 70, soit à 989 fr. au total en chiffres arrondis. Vu le sort du recours, les frais de la procédure, constitués de l’émolument d’arrêt, par 2’420 fr. (art. 20 al. 1 TFIP), et des frais imputables à la défense d’office de S.________ (art. 422 al. 1 et 2 let. a CPP), fixés à 989 fr., seront mis à la charge du recourant, qui succombe (art. 428 al. 1 CPP). Le remboursement à l’Etat de l’indemnité allouée au défenseur d’office du recourant ne sera toutefois exigible que pour autant que la situation financière de ce dernier le permette (art. 135 al. 4 CPP).</w:t>
      </w:r>
    </w:p>
    <w:p>
      <w:r>
        <w:t>- 25 - Par ces motifs, la Chambre des recours pénale prononce : I. Le recours est rejeté. II. L’ordonnance du 23 mai 2022 est confirmée. III. L’indemnité allouée au défenseur d’office de S.________ est fixée à 989 fr. (neuf cent huitante-neuf francs). IV. Les frais d’arrêt, par 2’420 fr. (deux mille quatre cent vingt francs), ainsi que l’indemnité due au défenseur d’office du recourant, par 989 fr. (neuf cent huitante-neuf francs), sont mis à la charge de S.________. V. Le remboursement à l’Etat de l’indemnité allouée au chiffre III ci-dessus ne sera exigible que pour autant que la situation financière de S.________ le permette. VI. L’arrêt est exécutoire. La présidente : La greffière : Du Le présent arrêt, dont la rédaction a été approuvée à huis clos, est notifié, par l'envoi d'une copie complète, à : - Me Elisabeth Chappuis, avocate (pour S.________), - Ministère public central,</w:t>
      </w:r>
    </w:p>
    <w:p>
      <w:r>
        <w:t>- 26 - et communiqué à : - Mme la Juge d’application des peines, - Mme la Procureure de l’arrondissement de Lausanne, - Office d’exécution des peines (réf. OEP/PPL/156127/VRI/SMS), - Direction des Etablissements de la plaine de l’Orbe, - M. le Procureur de l’arrondissement de Lausanne (réf. PE22.004447- LCT),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