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AP22.001322 vom 1. Februar 2022</w:t>
      </w:r>
    </w:p>
    <w:p>
      <w:r>
        <w:t>VD Tribunal cantonal, 2022-02-01, FR</w:t>
      </w:r>
    </w:p>
    <w:p>
      <w:r>
        <w:rPr>
          <w:b/>
        </w:rPr>
        <w:t xml:space="preserve">Quelle: </w:t>
      </w:r>
      <w:r>
        <w:t>https://mcp.opencaselaw.ch/entscheid/vd_gerichte_AP22.001322</w:t>
      </w:r>
    </w:p>
    <w:p>
      <w:r>
        <w:t>FR: VD_GERICHTE AP22.001322 du 1 février 2022</w:t>
      </w:r>
    </w:p>
    <w:p>
      <w:r>
        <w:t>IT: VD_GERICHTE AP22.001322 del 1 febbraio 2022</w:t>
      </w:r>
    </w:p>
    <w:p>
      <w:pPr>
        <w:pStyle w:val="Heading2"/>
      </w:pPr>
      <w:r>
        <w:t>Erwägungen</w:t>
      </w:r>
    </w:p>
    <w:p>
      <w:r>
        <w:rPr>
          <w:b/>
        </w:rPr>
        <w:t>E. 1.1</w:t>
      </w:r>
    </w:p>
    <w:p>
      <w:r>
        <w:t>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w:t>
      </w:r>
    </w:p>
    <w:p>
      <w:r>
        <w:t>- 3 -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dans son courrier du 20 janvier 2022, le recourant indique qu’il a reçu l’ordonnance litigieuse le 12 janvier 2022. Ainsi, interjeté en temps utile dans les formes prescrites (art. 385 al. 1 CPP) auprès de l’autorité compétente par le condamné qui a qualité pour recourir (art. 382 al. 1 CPP), le recours du 20 janvier 2022, complété les 21 et 24 janvier 2022 (cf. art. 90 al. 2 CPP), est recevable.</w:t>
      </w:r>
    </w:p>
    <w:p>
      <w:r>
        <w:rPr>
          <w:b/>
        </w:rPr>
        <w:t>E. 2.1</w:t>
      </w:r>
    </w:p>
    <w:p>
      <w:r>
        <w:t>L’autorité a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141 IV 249 consid. 1.3.1 ; ATF 139 IV 179 consid. 2.2 ; TF 6B_196/2020 du 14 octobre 2020 consid. 2.1). Il n'est pas tenu de discuter tous les arguments soulevés par les parties, mais peut se limiter à l'examen des questions décisives pour l'issue du litige (ATF 142 II 154 consid. 4.2 ; ATF 139 IV 179 consid. 2.2 ; TF 6B_196/2020 précité consid. 2.1). Dès lors que l'on peut discerner les motifs qui ont guidé la décision de l'autorité, le droit à une décision motivée est respecté, même si la motivation présentée est erronée (ATF 141 V 557 consid. 3.2.1 ; TF 6B_196/2020 précité consid. 2.1). La motivation peut d'ailleurs être implicite et résulter des différents considérants de la décision (ATF 141 IV 557 consid. 3.2.1 ; TF 6B_179/2020 du 18 mai 2020 consid. 1.2).</w:t>
      </w:r>
    </w:p>
    <w:p>
      <w:r>
        <w:t>- 4 -</w:t>
      </w:r>
    </w:p>
    <w:p>
      <w:r>
        <w:rPr>
          <w:b/>
        </w:rPr>
        <w:t>E. 2.2</w:t>
      </w:r>
    </w:p>
    <w:p>
      <w:r>
        <w:t>En l’espèce, le dossier relatif au recourant qui a été transmis par l’autorité est quasi vide. Il ne contient ni le jugement ayant conduit à sa condamnation ni l’extrait du casier judiciaire ni aucun renseignement sur son comportement en prison ou tout autre élément relatif à sa personne nécessaire à l’examen de la cause, mais uniquement les demandes déposées par celui-ci. Pour seule motivation, la Juge d’application des peines s’est bornée à citer les conditions jurisprudentielles pour une libération conditionnelle anticipée et à dire que celles-ci n’étaient pas remplies. Force est donc de constater que l’ordonnance ne comporte ni état de fait ni raisonnement juridique en relation avec un état de fait, de sorte que la Cour de céans est dans l’incapacité d’exercer son contrôle, à savoir examiner si la conclusion de la Juge d’application des peines est correcte selon les principes exposés dans sa décision. Bien que disposant d'un plein pouvoir d'examen en fait et en droit (cf. art. 393 al. 2 CPP), la Cour de céans ne peut pas réparer ces lacunes, en particulier au vu de la garantie de la double instance (ATF 142 II 218 consid. 2.8.1 et les références ; TF 6B_1251/2016 du 19 juillet 2017 consid. 3.1 ; Juge unique CREP 24 février 2020/137 consid. 2.2). Dans ces conditions, il appartiendra à la Juge d’application des peines d’établir un état de fait complet et de procéder à une subsomption juridique en relation avec les arguments invoqués par le détenu.</w:t>
      </w:r>
    </w:p>
    <w:p>
      <w:r>
        <w:rPr>
          <w:b/>
        </w:rPr>
        <w:t>E. 3</w:t>
      </w:r>
    </w:p>
    <w:p>
      <w:r>
        <w:t>Il résulte de ce qui précède que le recours doit être admis, l'ordonnance entreprise annulée et le dossier de la cause renvoyé à la Juge d’application des peines pour qu'elle procède dans le sens des considérants (art. 397 al. 2 CPP). Les frais de la procédure de recours, par 440 fr. (art. 20 al. 1 TFIP [tarif des frais de procédure et indemnités en matière pénale du 28 septembre 2010 ; BLV 312.03.1]), seront laissés à la charge de l’Etat (art. 423 CPP).</w:t>
      </w:r>
    </w:p>
    <w:p>
      <w:r>
        <w:t>- 5 - Par ces motifs, la Chambre des recours pénale prononce : I. Le recours est admis. II. L’ordonnance du 11 janvier 2022 est annulée. III. Le dossier de la cause est renvoyé à la Juge d’application des peines pour qu'elle procède dans le sens des considérants. IV. Les frais d’arrêt, par 440 fr. (quatre cent quarante francs), sont laissés à la charge de l’Etat. V. L’arrêt est exécutoire. La présidente : La greffière : Du Le présent arrêt, dont la rédaction a été approuvée à huis clos, est notifié, par l'envoi d'une copie complète, à : - M. Y.________, - Ministère public central, et communiqué à : - Mme la Juge d’application des peines, par l’envoi de photocopies.</w:t>
      </w:r>
    </w:p>
    <w:p>
      <w:r>
        <w:t>- 6 -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