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AP21.017236 vom 25. November 2021</w:t>
      </w:r>
    </w:p>
    <w:p>
      <w:r>
        <w:t>VD Tribunal cantonal, 2021-11-25, FR</w:t>
      </w:r>
    </w:p>
    <w:p>
      <w:r>
        <w:rPr>
          <w:b/>
        </w:rPr>
        <w:t xml:space="preserve">Quelle: </w:t>
      </w:r>
      <w:r>
        <w:t>https://mcp.opencaselaw.ch/entscheid/vd_gerichte_AP21.017236</w:t>
      </w:r>
    </w:p>
    <w:p>
      <w:r>
        <w:t>FR: VD_GERICHTE AP21.017236 du 25 novembre 2021</w:t>
      </w:r>
    </w:p>
    <w:p>
      <w:r>
        <w:t>IT: VD_GERICHTE AP21.017236 del 25 novembre 2021</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w:t>
      </w:r>
    </w:p>
    <w:p>
      <w:r>
        <w:t>- 11 -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la condamnée qui a qualité pour recourir (art. 382 al. 1 CPP), et satisfaisant aux exigences de forme prescrites (art. 385 al. 1 CPP), le recours de B.________ est recevable.</w:t>
      </w:r>
    </w:p>
    <w:p>
      <w:r>
        <w:rPr>
          <w:b/>
        </w:rPr>
        <w:t>E. 2.1</w:t>
      </w:r>
    </w:p>
    <w:p>
      <w:r>
        <w:t>La recourante conteste le refus de sa libération conditionnelle. Elle fait valoir qu’elle a évolué et que le risque qu’une nouvelle infraction soit commise est faible. Partant, ce serait à tort que l’autorité intimée a considéré que le pronostic était défavorable.</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w:t>
      </w:r>
    </w:p>
    <w:p>
      <w:r>
        <w:t>- 12 -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du 20 avril 2020 consid. 1.1.1). Afin de procéder à un pronostic différentiel, il sied de comparer les avantages et désavantages de l'exécution de la peine avec la libération conditionnelle (ATF 124 IV 193 consid. 4a et consid. 5b/bb ; TF 6B_18/2020 du 20 avril 2020 consid. 1.1.1 ; TF 6B_686/2019 du 17 juillet 2019 consid.</w:t>
      </w:r>
    </w:p>
    <w:p>
      <w:r>
        <w:t>- 13 - 1.1).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TF 6B_208/2018 du 6 avril 2018 consid. 1.3).</w:t>
      </w:r>
    </w:p>
    <w:p>
      <w:r>
        <w:rPr>
          <w:b/>
        </w:rPr>
        <w:t>E. 2.3</w:t>
      </w:r>
    </w:p>
    <w:p>
      <w:r>
        <w:t>En l’espèce, la recourante a atteint les deux tiers de sa peine le 28 août dernier et elle aura terminé de purger celle-ci le 7 février 2022, de sorte que la première condition pour l’octroi de la libération conditionnelle est remplie. Avec le Juge d’application des peines, il y a lieu de considérer que nonobstant les trois sanctions disciplinaires prononcées l’égard de B.________, son attitude en détention ne s’oppose pas à un élargissement anticipé, de sorte que la deuxième condition de l’art. 86 al. 1 CP est réalisée. S’agissant du pronostic à poser, il convient de retenir que la prévenue a été condamnée le 12 août 2021 pour des faits graves. Sa culpabilité a été qualifiée de lourde et sa prise de conscience comme largement inachevée. Les faits sont survenus moins de trois mois après l’expiration du délai d’épreuve de quatre ans assortissant sa condamnation de 2016. Dans les deux cas, les faits sont similaires, dès lors que la recourante a attaqué au couteau son compagnon ; les infractions sont ainsi graves et les intérêts juridiquement protégés importants. Or, même si, comme le relève la recourante, l’établissement a souligné une évolution favorable dans son discours et elle a exprimé des regrets, il y a lieu de constater qu’elle impute sa récidive à la rupture de son traitement, affirmant également qu’elle essayait de se défendre contre son mari. En ce sens, elle peine donc encore à prendre conscience de sa responsabilité dans les actes qu’elle a commis. Par ailleurs, la situation est toujours précaire, ce qui est attesté par l’altercation avec une infirmière survenue le 9 octobre 2021 qui est liée à la conviction de la</w:t>
      </w:r>
    </w:p>
    <w:p>
      <w:r>
        <w:t>- 14 - recourante d’être enceinte de 11 mois, ceci sans avoir eu de relations sexuelles. Dans ces circonstances, et même si la recourante prend maintenant sa médication, ce qui réduit le risque de récidive comme l’atteste l’expertise psychiatrique du 28 avril 2021, il y a lieu de constater que le pronostic reste défavorable et qu’une libération serait prématurée. Enfin, la poursuite de l’exécution de la peine jusqu’à son terme en février 2022 est de nature à permettre de consolider la situation et de préparer la sortie de l’intéressée, que ce soit au niveau de sa prise en charge médicamenteuse et psychothérapeutique, que de ses projets concrets. En effet, ceux-ci paraissent en l’état peu aboutis. Partant le pronostic est défavorable.</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360 fr. sur la base d’une durée d’activité nécessaire d’avocat de 2 heures au tarif horaire de 180 fr., auxquels il convient d’ajouter des débours forfaitaires à concurrence de 2 % (art. 2 al. 1 let. a et 3bis al. 1 RAJ [règlement sur l’assistance judiciaire en matière civile du</w:t>
      </w:r>
    </w:p>
    <w:p>
      <w:r>
        <w:rPr>
          <w:b/>
        </w:rPr>
        <w:t>E. 7</w:t>
      </w:r>
    </w:p>
    <w:p>
      <w:r>
        <w:t>décembre 2010 ; BLV 211.02.3], applicables par renvoi de l’art. 26b TFIP), par 7 fr. 20, et la TVA, par 28 fr. 30, soit à 396 fr. au total en chiffres arrondis, seront mis à la charge de la recourante, qui succombe (art. 428 al. 1, 1ère phrase CPP). Le remboursement à l’Etat de l’indemnité allouée au défenseur d’office de la recourante ne sera toutefois exigible que pour autant que la situation économique de cette dernière le permette (art. 135 al. 4 CPP).</w:t>
      </w:r>
    </w:p>
    <w:p>
      <w:r>
        <w:t>- 15 - Par ces motifs, la Chambre des recours pénale prononce : I. Le recours est rejeté. II. L’ordonnance du 9 novembre 2021 est confirmée. III. L’indemnité allouée au défenseur d’office de B.________ est fixée à 396 fr. (trois cent nonante-six francs). IV. Les frais d’arrêt, par 1’430 fr. (mille quatre cent trente francs), ainsi que l’indemnité due au défenseur d’office de B.________, par 396 fr. (trois cent nonante-six francs), sont mis à la charge de cette dernière. V. Le remboursement à l'Etat de l'indemnité allouée au chiffre III ci-dessus sera exigible pour autant que la situation financière de B.________ le permette. VI. L’arrêt est exécutoire. Le président : La greffière : Du Le présent arrêt, dont la rédaction a été approuvée à huis clos, est notifié, par l'envoi d'une copie complète, à : - Me Georges Reymond, avocat (pour B.________), - Ministère public central, et communiqué à : - Mme la Juge d’application des peines, - M. le Procureur de l’arrondissement du Nord vaudois, - Office d’exécution des peines (réf. : OEP/PPL/146447/VRI/AMO), - Direction de la Prison de la Tuilière, - Service de la population,</w:t>
      </w:r>
    </w:p>
    <w:p>
      <w:r>
        <w:t>- 16 -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