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AP21.011233 vom 14. Oktober 2021</w:t>
      </w:r>
    </w:p>
    <w:p>
      <w:r>
        <w:t>VD Tribunal cantonal, 2021-10-14, FR</w:t>
      </w:r>
    </w:p>
    <w:p>
      <w:r>
        <w:rPr>
          <w:b/>
        </w:rPr>
        <w:t xml:space="preserve">Quelle: </w:t>
      </w:r>
      <w:r>
        <w:t>https://mcp.opencaselaw.ch/entscheid/vd_gerichte_AP21.011233</w:t>
      </w:r>
    </w:p>
    <w:p>
      <w:r>
        <w:t>FR: VD_GERICHTE AP21.011233 du 14 octobre 2021</w:t>
      </w:r>
    </w:p>
    <w:p>
      <w:r>
        <w:t>IT: VD_GERICHTE AP21.011233 del 14 ottobre 2021</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le condamné qui a la qualité pour recourir (cf. art. 382 al. 1 CPP), le recours, conforme aux exigences de motivation prévues par l’art. 385 al. 1 CPP, est recevable.</w:t>
      </w:r>
    </w:p>
    <w:p>
      <w:r>
        <w:rPr>
          <w:b/>
        </w:rPr>
        <w:t>E. 2</w:t>
      </w:r>
    </w:p>
    <w:p>
      <w:r>
        <w:t>Le recourant reproche au premier juge de lui avoir refusé la libération conditionnelle. Il lui fait également grief d’avoir rejeté ses réquisitions de preuve et y voit une violation de son droit d’être entendu.</w:t>
      </w:r>
    </w:p>
    <w:p>
      <w:r>
        <w:t>- 10 -</w:t>
      </w:r>
    </w:p>
    <w:p>
      <w:r>
        <w:rPr>
          <w:b/>
        </w:rPr>
        <w:t>E. 2.1</w:t>
      </w:r>
    </w:p>
    <w:p>
      <w:r>
        <w:t>Tel qu'il est garanti à l'art. 29 al. 2 Cst. (Constitution fédérale du 18 avril 1999 ; RS 101), le droit d'être entendu comprend celui de produire ou de faire administrer des preuves, mais à condition qu'elles soient pertinentes (ATF 135 I 187 consid. 2.2 ; ATF 135 II 286 consid. 5.1).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136 I 229 c. 5.3).</w:t>
      </w:r>
    </w:p>
    <w:p>
      <w:r>
        <w:rPr>
          <w:b/>
        </w:rPr>
        <w:t>E. 2.2.1</w:t>
      </w:r>
    </w:p>
    <w:p>
      <w:r>
        <w:t>Selon l’art. 59 al. 4 CP (Code pénal du 21 décembre 1937; RS 311.0),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w:t>
      </w:r>
    </w:p>
    <w:p>
      <w:r>
        <w:t>- 11 -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TF 6B_347/2018 du 28 juin 2018 consid. 4.1.3; TF 6B_172/2017 du 16 novembre 2017 consid. 1.1.1).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TF 6B_347/2018 précité).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w:t>
      </w:r>
    </w:p>
    <w:p>
      <w:r>
        <w:t>- 12 - hautement vraisemblable que celui-ci se comportera correctement en liberté (cf. art. 64a al. 1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(ATF 137 IV 201 consid. 1.2 et les références citées).</w:t>
      </w:r>
    </w:p>
    <w:p>
      <w:r>
        <w:rPr>
          <w:b/>
        </w:rPr>
        <w:t>E. 2.2.2</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et l’arrêt cité). Mais, lorsqu'il n'y a plus lieu de s'attendre à une amélioration de l'état de l'auteur, l'autorité compétente doit lever la mesure, en prenant au besoin une ou plusieurs des dispositions prévues à l'art. 62c al. 3 à 6 CP (TF 6B_850/2020 du 8 octobre 2020 consid. 2.3.2 et 2.3.3; TF 6B_804/2011 du 14 février 2012 consid. 1.1.3).</w:t>
      </w:r>
    </w:p>
    <w:p>
      <w:r>
        <w:rPr>
          <w:b/>
        </w:rPr>
        <w:t>E. 2.3.1</w:t>
      </w:r>
    </w:p>
    <w:p>
      <w:r>
        <w:t>En l’espèce, il est indubitable que C.________ est atteint dans sa santé. On peut donner acte au prénommé – qui persiste à nier avoir un</w:t>
      </w:r>
    </w:p>
    <w:p>
      <w:r>
        <w:t>- 13 - quelconque trouble mental malgré les conclusions claires des experts ayant posé les diagnostics de trouble schizoaffectif de type maniaque et de troubles mentaux et du comportement liés à l’utilisation de dérivés du cannabis – que les experts et intervenants s’accordent, au fil de leurs rapports, à relever son manque de collaboration, son refus de toute médication et ses dénégations quant aux actes de violence qui lui ont valu sa condamnation en mars 2019. L’audition par le premier juge est à cet égard éloquente, l’intéressé ayant présenté une argumentation égarée, relevant d’une réalité altérée, telle qu’évoquée précisément par les experts eux-mêmes. Quant au fait, soulevé par le recourant, que depuis mai 2020 son comportement aurait été exempt de tout acte analogue ayant valu sa condamnation en 2019 et ce sans le moindre traitement, il n’est pas suffisant pour inverser le pronostic très défavorable et remettre ainsi en cause l’appréciation des experts psychiatres quant à l’importance du risque de récidive en l’absence d’un cadre approprié. En effet, comme on l’a vu, la loi exige une évolution ayant pour effet de réduire dans une mesure suffisante le risque de nouvelles infractions, ce qui n’est en l’état manifestement pas le cas, vu le déni dans lequel vit le recourant et son manque de collaboration. Donc, à ce stade, une libération conditionnelle s'avère prématurée et l'appréciation du Juge d’application des peines peut être entièrement confirmée sur ce point. Il en va de même du fait que la poursuite de la mesure thérapeutique institutionnelle dont bénéficie le recourant ne paraît pas, pour l'heure, vouée à l'échec au sens de l'art. 62c al. 1 let. a CP. En effet, les intervenants conçoivent une progression possible, par l’intégration du condamné dans une structure adaptée aux personnes affligées d’une mesure pénale tel que lui, à savoir l’établissement de Curabilis. Comme relevé par le premier juge, si l’on peut regretter les délais d’une telle admission, l’on ne peut pour autant en conclure, tel que le fait l’intéressé, que cela motive une levée de la mesure ou une libération conditionnelle de cette mesure. Comme exposé ci-avant, même la simple prise en charge du condamné dans un milieu structuré et surveillé accompagnée d'un suivi psychothérapeutique relativement lointain constitue un traitement, si elle</w:t>
      </w:r>
    </w:p>
    <w:p>
      <w:r>
        <w:t>- 14 - a pour effet prévisible d'améliorer l'état de l'intéressé de manière à permettre, à terme, sa réinsertion dans la société, ce qui, en l’état, ne peut être d’emblée exclu. Il suffit à cet égard de rappeler que lors de son séjour à l’unité psychiatrique forensique à Berne, le traitement médicamenteux, qui avait pu être administré, avait permis de stabiliser l’état du recourant. Ce dernier conclut ainsi à tort à l’inefficacité des soins médicaux, puisque des éléments favorables ont été constatés sur ce point. Il y a donc lieu de privilégier le projet d’admission de l’intéressé au sein des services spécialisés de Curabilis, démarche qui offre une perspective d’évolution possible sur le plan thérapeutique. On ne peut qu’espérer que le recourant s’investisse dans les traitements imposés par la justice et qu’il fasse preuve d’une remise en question tant en ce qui concerne sa pathologie psychiatrique que les actes qu’il a commis, ce qui permettrait d’élaborer des élargissements de régime.</w:t>
      </w:r>
    </w:p>
    <w:p>
      <w:r>
        <w:rPr>
          <w:b/>
        </w:rPr>
        <w:t>E. 2.3.2</w:t>
      </w:r>
    </w:p>
    <w:p>
      <w:r>
        <w:t>Enfin, c’est à raison que le premier juge, qui s’estimait suffisamment renseigné pour être à même de statuer sur la cause, n’a pas donné suite aux réquisitions présentées par le recourant, lesquelles n’apparaissent en effet pas de nature à apporter davantage d’éclairage utile à la situation actuelle. On ne distingue ainsi aucune violation du droit d’être entendu. A cet égard, l'argumentation du Juge d'application des peines est convaincante. La Cour de céans s’y réfère dès lors intégralement.</w:t>
      </w:r>
    </w:p>
    <w:p>
      <w:r>
        <w:rPr>
          <w:b/>
        </w:rPr>
        <w:t>E. 2.3.3</w:t>
      </w:r>
    </w:p>
    <w:p>
      <w:r>
        <w:t>Au vu de ce qui précède, c’est à raison que le Juge d’application des peines a refusé d’accorder à C.________ la libération conditionnelle de la mesure thérapeutique institutionnelle au sens de l’art. 59 CP ordonnée le 28 mars 2019 par le Tribunal correctionnel de l’arrondissement de La Côte.</w:t>
      </w:r>
    </w:p>
    <w:p>
      <w:r>
        <w:rPr>
          <w:b/>
        </w:rPr>
        <w:t>E. 3</w:t>
      </w:r>
    </w:p>
    <w:p>
      <w:r>
        <w:t>Il résulte de ce qui précède que le recours, manifestement mal fondé, doit être rejeté sans échange d’écritures (art. 390 al. 2 CPP) et l’ordonnance entreprise confirmée.</w:t>
      </w:r>
    </w:p>
    <w:p>
      <w:r>
        <w:t>- 15 - Les frais de la procédure de recours, constitués en l’espèce de l’émolument d'arrêt, par 1'540 fr. (art. 20 al. 1 TFIP [tarif des frais de procédure et indemnités en matière pénale du 28 septembre 2010; RSV 312.03.1]), et des frais imputables à la défense d’office (art. 422 al. 1 et 2 let. a CPP), fixés à 540 fr. (3 heures d’activité nécessaire d’avocat au tarif horaire de 180 fr.), auxquels il convient d’ajouter des débours forfaitaires à concurrence de 2 % (art. 3bis al. 1 RAJ [règlement du 7 décembre 2010 sur l'assistance judiciaire en matière civile ; BLV 211.02.3], applicable par renvoi de l’art. 26b TFIP), par 10 fr. 80, plus la TVA, par 42 fr. 40, soit à 593 fr. 20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22 septembre 2021 est confirmée III. L’indemnité allouée au défenseur d’office de C.________ est fixée à 593 fr. 20 (cinq cent nonante-trois francs et vingt centimes). IV. Les frais de la procédure de recours, par 1'540 fr. (mille cinq cent quarante francs), ainsi que l’indemnité due au défenseur d’office de C.________, par 593 fr. 20 (cinq cent nonante-trois francs et vingt centimes), sont mis à la charge de ce dernier. V. Le remboursement à l'Etat de l'indemnité allouée au chiffre III ci-dessus sera exigible pour autant que la situation financière de C.________ le permette.</w:t>
      </w:r>
    </w:p>
    <w:p>
      <w:r>
        <w:t>- 16 - VI. L’arrêt est exécutoire. Le président : Le greffier : Du Le présent arrêt, dont la rédaction a été approuvée à huis clos, est notifié, par l'envoi d'une copie complète, à : - Me Stephen Gintzburger (pour C.________), - Ministère public central, et communiqué à : - M. le Juge d’application des peines, - Mme la Procureure de l’arrondissement de La Côte, - Direction des Etablissements de la Plaine de l’Orbe, - Office d’exécution des peines,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- 17 -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