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AP21.005150 vom 1. April 2021</w:t>
      </w:r>
    </w:p>
    <w:p>
      <w:r>
        <w:t>VD Tribunal cantonal, 2021-04-01, FR</w:t>
      </w:r>
    </w:p>
    <w:p>
      <w:r>
        <w:rPr>
          <w:b/>
        </w:rPr>
        <w:t xml:space="preserve">Quelle: </w:t>
      </w:r>
      <w:r>
        <w:t>https://mcp.opencaselaw.ch/entscheid/vd_gerichte_AP21.005150</w:t>
      </w:r>
    </w:p>
    <w:p>
      <w:r>
        <w:t>FR: VD_GERICHTE AP21.005150 du 1 avril 2021</w:t>
      </w:r>
    </w:p>
    <w:p>
      <w:r>
        <w:t>IT: VD_GERICHTE AP21.005150 del 1 aprile 2021</w:t>
      </w:r>
    </w:p>
    <w:p>
      <w:pPr>
        <w:pStyle w:val="Heading2"/>
      </w:pPr>
      <w:r>
        <w:t>Erwägungen</w:t>
      </w:r>
    </w:p>
    <w:p>
      <w:r>
        <w:rPr>
          <w:b/>
        </w:rPr>
        <w:t>E. 1</w:t>
      </w:r>
    </w:p>
    <w:p>
      <w:r>
        <w:t>Selon l'art. 38 LEP (loi sur l'exécution des condamnations pénales du 4 juillet 2006 ; BLV 340.01), les décisions rendues par l’Office d’exécution des peines peuvent faire l'objet d'un recours auprès du Tribunal cantonal (al. 1). La procédure est régie par les dispositions du CPP (Code de procédure pénale suisse du 5 octobre 2007 ; RS 312.0) relatives au recours (al. 2). Interjeté en temps utile (art. 396 al. 1 CPP) auprès de l'autorité compétente (art. 13 LVCPP [loi vaudoise d’introduction du Code de procédure pénale suisse du 19 mai 2009 ; BLV 312.01] ; art. 80 LOJV [loi d'organisation judiciaire du 12 septembre 1979 ; BLV 173.01]) par le condamné dont la requête a été rejetée et qui a donc qualité pour recourir (art. 382 al. 1 CPP), selon les formes prescrites (art. 385 al. 1 CPP), le recours est recevable. En revanche, son écriture du 30 mars 2021, postée le 31 mars 2021, est tardive et irrecevable.</w:t>
      </w:r>
    </w:p>
    <w:p>
      <w:r>
        <w:rPr>
          <w:b/>
        </w:rPr>
        <w:t>E. 2.1</w:t>
      </w:r>
    </w:p>
    <w:p>
      <w:r>
        <w:t>Le recourant affirme que son état de santé, qui se serait péjoré depuis le 13 aout 2020, ne lui permettrait pas d’être incarcéré d’autant qu’on se trouve à la veille d’un troisième confinement. Il prétend que la jurisprudence du Tribunal fédéral à laquelle l’OEP se réfère serait obsolète. Il conteste également le risque de récidive retenu par la décision de l’OEP du 27 août 2020 et repris dans celle du 24 février 2021 ; il fait valoir à cet égard que les véhicules ont été séquestrés par le Ministère public et qu’il</w:t>
      </w:r>
    </w:p>
    <w:p>
      <w:r>
        <w:t>- 6 - ne circule plus qu’en vélo ou au moyen des transports publics. Il affirme enfin qu’il a la charge de son chien de 13 ans et personne pour s’en occuper durant son incarcération.</w:t>
      </w:r>
    </w:p>
    <w:p>
      <w:r>
        <w:rPr>
          <w:b/>
        </w:rPr>
        <w:t>E. 2.2.1</w:t>
      </w:r>
    </w:p>
    <w:p>
      <w:r>
        <w:t>L’art. 79b al. 1 CP (Code pénal du 21 décembre 1937;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Règlement concordataire sur l'exécution des peines privatives de liberté sous surveillance électronique du 20 décembre 2017 (RESE ; BLV 340.95.5), qui précise les conditions découlant du droit fédéral. Selon l’art. 4 al. 1 RESE, les conditions suivantes doivent être remplies pour bénéficier de la surveillance électronique : « a. une demande de la personne condamnée; b. pas de crainte qu'elle s'enfuie; c. pas de crainte qu'elle commette d'autres infractions ; d. une autorisation de séjour en Suisse et le droit de travailler, de suivre une formation ou d'exercer une activité au sens de la lettre f) 2e phrase ci-dessous ; e. pas d'expulsion en vertu des art. 66a et 66abis CP; f. la poursuite de l'activité</w:t>
      </w:r>
    </w:p>
    <w:p>
      <w:r>
        <w:t>- 7 - professionnelle ou d'une formation reconnue avec un taux d'occupation d'au moins vingt heures par semaine. Le travail domestique, le travail éducatif, la participation à un programme d'occupation ou tout autre occupation structurée sont réputés équivalents; g. des garanties quant au respect des conditions-cadre de la semi-détention et du règlement de l'établissement d'exécution; h.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i. le logement fixe est équipé d'un réseau de téléphonie fixe ou mobile pour la transmission électronique des données; j. le consentement des personnes adultes vivant sous le même toit et leur accord pour que l'autorité d'exécution compétente puisse accéder en tout temps au logement, aussi sans annonce préalable, pendant la durée de l'EM (Electronic Monitoring, réd.); k. l'acceptation par la personne condamnée du plan d'exécution et de l'horaire hebdomadaire et son accord pour que l'autorité d'exécution compétente puisse accéder en tout temps au logement, aussi sans annonce préalable, pendant la durée de la surveillance électronique; l. l'exclusion de motifs professionnels, familiaux ou autres motifs importants qui seraient contraires à cette forme d'exécution, notamment une condamnation pour violence domestique ou pour abus sexuels d'enfants si des enfants vivent sous le même toit ».</w:t>
      </w:r>
    </w:p>
    <w:p>
      <w:r>
        <w:rPr>
          <w:b/>
        </w:rPr>
        <w:t>E. 2.2.2</w:t>
      </w:r>
    </w:p>
    <w:p>
      <w:r>
        <w:t>Selon la jurisprudence, la pandémie de coronavirus ne fait pas obstacle à la détention provisoire ou pour des motifs de sûreté pour autant que les lignes directrices de l'Organisation Mondiale de la Santé sur la lutte contre la pandémie et les mesures et recommandations de l'Office fédéral de la santé publique en la matière soient respectées (voir notamment à ce sujet, le guide sur la gestion du COVID-19 dans les établissements de détention édicté par la Conférence des directrices et directeurs des départements cantonaux de justice et police à l'intention des services chargés de l'exécution des sanctions pénales, du 6 avril 2020</w:t>
      </w:r>
    </w:p>
    <w:p>
      <w:r>
        <w:t>- 8 - ; arrêt TF 1B_1/2021 du 21 janvier 2021 consid. 3 ; TF 1B_220/2020 du 26 mai 2020 consid. 5.3). Cette jurisprudence est applicable par analogie à l’exécution des peines.</w:t>
      </w:r>
    </w:p>
    <w:p>
      <w:r>
        <w:rPr>
          <w:b/>
        </w:rPr>
        <w:t>E. 2.3</w:t>
      </w:r>
    </w:p>
    <w:p>
      <w:r>
        <w:t>En l’occurrence, le condamné est âgé de 63 ans. Les problèmes de santé qu’il évoque dans son courrier du 13 août 2020 ne sont à l’évidence pas incompatibles avec l’exécution d’une peine privative de liberté de 90 jours en semi-détention. Il s’agit en effet d’une hémochromatose héréditaire, de glaucomes aux yeux, de contrôles cardiaques et d’un suivi psychologique une fois par mois. Il en va de même de la pose d’une prothèse en titane dans la cheville gauche. Le fait qu’il devrait selon son recours subir prochainement deux interventions chirurgicales, soit la pose d’une prothèse au genou gauche et une opération de la cataracte aux deux yeux, n’y change rien. Au demeurant, ces deux interventions ne sont pas agendées, du moins le condamné ne le fait pas valoir. Par ailleurs aucun certificat médical n’atteste de problèmes de santé graves, qui seraient incompatibles avec l’exécution d’une peine en régime de semi-détention ou qui ne pourraient pas être pris en charge dans un établissement pénitentiaire. Le condamné se prévaut de la pandémie du COVID-19. A cet égard, même si on ne peut que concéder que la situation sanitaire est difficile et incertaine, on ne saurait admettre que celle-ci rend impossible toute exécution de peine, dès lors que des mesures sont prises dans les établissements pénitentiaires pour assurer la sécurité sanitaire. Par ailleurs, le condamné n’établit pas qu’il serait plus touché que tout un chacun de son âge par ce virus et qu’il est en particulier une personne à risques. K.________ conteste que le risque de récidive soit établi et déclare que depuis août 2020, il n’a plus conduit de voitures. Il est douteux que le risque de récidive, qui avait été retenu dans la décision de l’OEP du 27 août 2020, puisse faire l’objet d’un réexamen au sens de l’art. 64 LPA-VD, aucun fait nouveau n’étant invoqué à cet égard. Quoi qu’il en soit, comme l’a affirmé l’autorité entreprise, le condamné, outre la</w:t>
      </w:r>
    </w:p>
    <w:p>
      <w:r>
        <w:t>- 9 - condamnation de 2020 qu’il doit exécuter, a quatre antécédents en matière de circulation routière notamment. Il a été aussi sanctionné en 2016 pour gestion déloyale, et a déjà exécuté plusieurs peines sous le régime notamment de la surveillance électronique, sans que cela ne l’empêche de récidiver. L’écoulement du temps depuis août 2020 n’est à cet égard pas significatif. Dans ces circonstances, il y a lieu de considérer que le risque de récidive est toujours réalisé, même si les véhicules de la société dont il est administrateur ont été à ses dires séquestrés. Manifestement, le recourant fait fi de toutes les sanctions qui lui ont été infligées et continue de conduire des véhicules automobiles, en état d’incapacité ou pas, malgré le refus, le retrait ou l’interdiction de l’usage du permis. On ne saurait se fonder sur ses propres déclarations. Partant, K.________ ne remplit pas au moins l’une des conditions inhérentes au régime de la surveillance électronique. Le recourant fait enfin valoir qu’il n’a personne pour s’occuper de son chien qui a 13 ans. A supposer que tel soit le cas, il lui appartient de prendre toutes mesures utiles pour faire garder son chien que ce soit par une connaissance ou par un chenil. Cette circonstance à laquelle il lui appartient de pallier, n’est pas de nature à empêcher l’exécution de sa peine sous le régime de la semi-détention.</w:t>
      </w:r>
    </w:p>
    <w:p>
      <w:r>
        <w:rPr>
          <w:b/>
        </w:rPr>
        <w:t>E. 3</w:t>
      </w:r>
    </w:p>
    <w:p>
      <w:r>
        <w:t>Il s'ensuit que le recours, manifestement mal fondé, doit être rejeté sans échange d'écritures (art. 390 al. 2 CPP) et la décision entreprise confirmée. Les frais de la procédure de recours, par 990 fr. (art. 20 al. 1 TFIP), seront mis à la charge du recourant, qui succombe (art. 428 al. 1 CPP).</w:t>
      </w:r>
    </w:p>
    <w:p>
      <w:r>
        <w:t>- 10 - Par ces motifs, la Chambre des recours pénale prononce : I. Le recours est rejeté. II. La décision du 11 mars 2021 est confirmée. III. Les frais d'arrêt, par 990 fr. (neuf cent nonante francs), sont mis à la charge du recourant. IV. L’arrêt est exécutoire. Le président : La greffière : Du Le présent arrêt, dont la rédaction a été approuvée à huis clos, est notifié, par l'envoi d'une copie complète, à : - M. K.________,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