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AP21.003348 vom 18. Mai 2021</w:t>
      </w:r>
    </w:p>
    <w:p>
      <w:r>
        <w:t>VD Tribunal cantonal, 2021-05-18, FR</w:t>
      </w:r>
    </w:p>
    <w:p>
      <w:r>
        <w:rPr>
          <w:b/>
        </w:rPr>
        <w:t xml:space="preserve">Quelle: </w:t>
      </w:r>
      <w:r>
        <w:t>https://mcp.opencaselaw.ch/entscheid/vd_gerichte_AP21.003348</w:t>
      </w:r>
    </w:p>
    <w:p>
      <w:r>
        <w:t>FR: VD_GERICHTE AP21.003348 du 18 mai 2021</w:t>
      </w:r>
    </w:p>
    <w:p>
      <w:r>
        <w:t>IT: VD_GERICHTE AP21.003348 del 18 maggio 2021</w:t>
      </w:r>
    </w:p>
    <w:p>
      <w:pPr>
        <w:pStyle w:val="Heading2"/>
      </w:pPr>
      <w:r>
        <w:t>Erwägungen</w:t>
      </w:r>
    </w:p>
    <w:p>
      <w:r>
        <w:rPr>
          <w:b/>
        </w:rPr>
        <w:t>E. 1.1</w:t>
      </w:r>
    </w:p>
    <w:p>
      <w:r>
        <w:t>L’art. 26 al. 1 let. a LEP (loi sur l’exécution des condamnations pénales du 4 juillet 2006; BLV 340.01) prévoit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En l’espèce, le recours a été interjeté en temps utile par le condamné qui a la qualité pour recourir au sens de l’art. 382 al. 1 CPP, et dans les formes prescrites par la loi, de sorte qu’il est recevable.</w:t>
      </w:r>
    </w:p>
    <w:p>
      <w:r>
        <w:rPr>
          <w:b/>
        </w:rPr>
        <w:t>E. 2.1</w:t>
      </w:r>
    </w:p>
    <w:p>
      <w:r>
        <w:t>Le recourant conteste l’appréciation du premier juge. Il soutient qu’il serait prêt à collaborer avec les autorités administratives aux fins de son renvoi et à quitter la Suisse, de sorte que si son renvoi n’est</w:t>
      </w:r>
    </w:p>
    <w:p>
      <w:r>
        <w:t>- 8 - actuellement pas possible, ce serait en raison du fait qu’il ne figure pas sur le système de données de la citoyenneté palestinienne et non en raison d’une prétendue absence de collaboration de sa part.</w:t>
      </w:r>
    </w:p>
    <w:p>
      <w:r>
        <w:rPr>
          <w:b/>
        </w:rPr>
        <w:t>E. 2.2</w:t>
      </w:r>
    </w:p>
    <w:p>
      <w:r>
        <w:t>Aux termes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et 2.3).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arrêts cités ; TF 6B_18/2020 du 20 avril 2020 consid. 1.1.1).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w:t>
      </w:r>
    </w:p>
    <w:p>
      <w:r>
        <w:t>- 9 - comportement futur du condamné en liberté (ATF 124 IV 193 consid. 5b/ee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6B_18/2020 précité). Afin de procéder à un pronostic différentiel, il sied de comparer les avantages et désavantages de l'exécution de la peine avec la libération conditionnelle (ATF 124 IV 193 consid. 4a et consid. 5b/bb ; TF 6B_18/2020 précité ; TF 6B_686/2019 du 17 juillet 2019 consid. 1.1).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(cf. TF 6B_91/2020 du 31 mars 2020 consid. 3.1 ; TF 6B_353/2019 du 25 avril 2019 consid. 1.5 ; TF 6B_32/2019 du 28 février 2019 consid. 2.10 ; TF 6B_208/2018 du 6 avril 2018 consid. 1.3). Il y a également lieu de rechercher si la libération conditionnelle, éventuellement assortie d'une assistance de probation et de règles de conduite, ne favoriserait pas mieux la resocialisation de l'auteur que l'exécution complète de la peine (ATF 124 IV 193 consid. 4d/aa et bb, JdT 2000 IV 162 ; TF 6B_11/2018 du 30 novembre 2017 consid. 1.1). Il faut pour cela que la libération conditionnelle offre des avantages permettant de trouver une solution durable au problème, ou désamorcer celui-ci, que l’exécution complète de la peine n’offrirait pas, et dont on se priverait en y procédant (ATF 124 IV 193 précité consid. 4d/bb in initio).</w:t>
      </w:r>
    </w:p>
    <w:p>
      <w:r>
        <w:t>- 10 -</w:t>
      </w:r>
    </w:p>
    <w:p>
      <w:r>
        <w:rPr>
          <w:b/>
        </w:rPr>
        <w:t>E. 2.3</w:t>
      </w:r>
    </w:p>
    <w:p>
      <w:r>
        <w:t>En l'espèce, la condition objective des deux tiers de la peine prévue par l'art. 86 al. 1 CP est réalisée depuis le 21 avril 2021. La condition du bon comportement du recourant en détention est également réalisée. Seul est litigieux le pronostic sur son comportement futur. A cet égard, il convient d’admettre que le pronostic formulé par la Juge d’application des peines apparaît bien fondé, à tout le moins dans l’hypothèse où le recourant devrait rester en Suisse après l’octroi de la libération conditionnelle. En effet, B.________ a récidivé à de multiples reprises et, compte tenu de son statut illégal en Suisse, il existe un risque manifeste qu’il commette, dès sa sortie de prison, des infractions similaires à celles perpétrées avant sa détention. L’appréciation du risque de récidive conduit toutefois à un résultat différent si l’on subordonne la libération conditionnelle au renvoi du recourant du territoire suisse. En effet, l’exécution du solde de la peine n’empêcherait pas que le recourant se retrouve dans la situation qui était la sienne lorsqu’il a commis les infractions ayant conduit à sa condamnation ; elle retarderait plutôt la mise à l’épreuve de sa capacité de réinsertion. En revanche, une libération conditionnelle, subordonnée à son renvoi de Suisse, devrait l’inciter à reprendre sa vie en main, tout en offrant l’avantage de l’effet dissuasif. Dans ces conditions, il apparaît que le pronostic serait plus défavorable en cas d’exécution complète de la peine qu’en cas de libération conditionnelle avec renvoi de l’intéressé du territoire suisse. Certes, B.________ ne figure pas sur le système de données de la citoyenneté palestinienne. On peut toutefois admettre que si la nationalité palestinienne du recourant venait à être authentifiée et que le refoulement dans ce pays était possible, le pronostic ne pourrait plus être considéré comme défavorable. Il s'ensuit que la libération conditionnelle de B.________ doit lui être octroyée, étant précisé qu’elle deviendra effective dès le moment où</w:t>
      </w:r>
    </w:p>
    <w:p>
      <w:r>
        <w:t>- 11 - le prénommé aura pu être remis aux autorités compétentes assumant son départ du territoire suisse. Le délai de mise à l'épreuve doit être fixé à une année, ce qui correspond au minimum légal (art. 87 al. 1 CP).</w:t>
      </w:r>
    </w:p>
    <w:p>
      <w:r>
        <w:rPr>
          <w:b/>
        </w:rPr>
        <w:t>E. 3</w:t>
      </w:r>
    </w:p>
    <w:p>
      <w:r>
        <w:t>Il résulte de ce qui précède que le recours doit être partiellement admis et l’ordonnance attaquée réformée dans le sens des considérants. Me Pierre Ventura, défenseur d’office, a produit deux notes d’honoraires (P. 11/3 et 11/4). La première concerne des opérations effectuées du 17 mars 2021 au 7 avril 2021, soit durant la procédure de première instance, qui ont déjà été indemnisées. La deuxième, dont il n'y a pas lieu de s'écarter, sous réserve des débours forfaitaires qui seront alloués à concurrence de 2%, et non 5%, fait état de 2,5 heures d’activité d’avocat. C’est ainsi une indemnité de 495 fr. en chiffres arrondis, correspondant à 2,5 heures d’activité au tarif horaire de 180 fr., soit 450 fr., plus les débours, par 9 fr., plus la TVA, par 35 fr. 35, qui doit lui être allouée. Les frais de la procédure de recours, constitués en l’espèce de l’émolument d'arrêt, par 1’210 fr. (art. 20 al. 1 TFIP [tarif des frais judiciaires et indemnités en matière pénale du 28 septembre 2010 ; BLV 312.03.1]), et des frais imputables à la défense d’office de B.________ (art. 422 al. 1 et 2 let. a CPP), fixés à 495 fr., seront laissés à la charge de l’Etat (art. 423 al. 1 CPP).</w:t>
      </w:r>
    </w:p>
    <w:p>
      <w:r>
        <w:t>- 12 - Par ces motifs, la Chambre des recours pénale prononce : I. Le recours est partiellement admis. II. L’ordonnance du 16 avril 2021 est réformée en ce sens que la libération conditionnelle est accordée à B.________, étant précisé que celle-ci deviendra effective dès le moment où le prénommé aura été remis aux autorités compétentes assurant son départ du territoire suisse, un délai d’épreuve d’un an lui étant imparti dès sa libération effective. L’ordonnance est confirmée pour le surplus. III. L’indemnité allouée au défenseur d’office de B.________ est fixée à 495 fr. (quatre cent nonante-cinq francs). IV. Les frais d’arrêt, par 1’210 fr. (mille deux cent dix francs), ainsi que l’indemnité due au défenseur d’office de B.________, par 495 fr. (quatre cent nonante-cinq francs), sont laissés à la charge de l’Etat V. L’arrêt est exécutoire. Le président : La greffière : Du Le présent arrêt, dont la rédaction a été approuvée à huis clos, est notifié, par l'envoi d'une copie complète, à : - Me Pierre Ventura, avocat (pour B.________), - Ministère public central ;</w:t>
      </w:r>
    </w:p>
    <w:p>
      <w:r>
        <w:t>- 13 - et communiqué à : - Mme la Juge d’application des peines, - Mme la Procureure de l’arrondissement de l’Est vaudois, - Office d’exécution des peines (réf. : OEP/PPL/49404/VRI/CBE), - Service de la population, - Direction de la prison de Gmünden,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