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AP21.003145 vom 17. November 2021</w:t>
      </w:r>
    </w:p>
    <w:p>
      <w:r>
        <w:t>VD Tribunal cantonal, 2021-11-17, FR</w:t>
      </w:r>
    </w:p>
    <w:p>
      <w:r>
        <w:rPr>
          <w:b/>
        </w:rPr>
        <w:t xml:space="preserve">Quelle: </w:t>
      </w:r>
      <w:r>
        <w:t>https://mcp.opencaselaw.ch/entscheid/vd_gerichte_AP21.003145</w:t>
      </w:r>
    </w:p>
    <w:p>
      <w:r>
        <w:t>FR: VD_GERICHTE AP21.003145 du 17 novembre 2021</w:t>
      </w:r>
    </w:p>
    <w:p>
      <w:r>
        <w:t>IT: VD_GERICHTE AP21.003145 del 17 novembre 2021</w:t>
      </w:r>
    </w:p>
    <w:p>
      <w:pPr>
        <w:pStyle w:val="Heading2"/>
      </w:pPr>
      <w:r>
        <w:t>Erwägungen</w:t>
      </w:r>
    </w:p>
    <w:p>
      <w:r>
        <w:rPr>
          <w:b/>
        </w:rPr>
        <w:t>E. 1.1</w:t>
      </w:r>
    </w:p>
    <w:p>
      <w:r>
        <w:t>L’art. 26 al. 1 let. a LEP (loi cantonale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- 10 -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le condamné qui a qualité pour recourir (art. 382 al. 1 CPP) et dans les formes prescrites (art. 385 al. 1 CPP), le recours est recevable.</w:t>
      </w:r>
    </w:p>
    <w:p>
      <w:r>
        <w:rPr>
          <w:b/>
        </w:rPr>
        <w:t>E. 2.1</w:t>
      </w:r>
    </w:p>
    <w:p>
      <w:r>
        <w:t>Le recourant fait tout d’abord valoir une violation de son droit d’être entendu. Il expose que la Juge d’application des peines s’est basée sur un rapport d’évaluation criminologique du Service de probation et d’insertion du 20 septembre 2021 dont il n’aurait « sauf erreur » pas eu de copie avant de formuler ses observations. Il fait également valoir que l’autorité intimée ne se serait pas prononcée sur la question de savoir s’il souffrait d’un grave trouble mental alors qu’il s’agissait d’une condition sine qua non du renouvellement de la mesure de l’art. 59 al. 1 CP.</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III 65 consid. 5.2 ; ATF 142 I 135 consid. 2.1; ATF 138 I 232 consid.</w:t>
      </w:r>
    </w:p>
    <w:p>
      <w:r>
        <w:t>- 11 - 5.1). Pour satisfaire à ces exigences, l’autorité doit mentionner, au moins brièvement, les motifs qui l'ont guidée et sur lesquels elle a fondé son raisonnement, de manière à ce que l'intéressé puisse se rendre compte de la portée de celle-ci et l'attaquer en connaissance de cause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2.3.1</w:t>
      </w:r>
    </w:p>
    <w:p>
      <w:r>
        <w:t>Le recourant expose qu’il n’a pas eu « sauf erreur » de copie du rapport d’évaluation criminologique du 20 septembre 2021 avant de formuler ses observations. Cette formulation n’est pas heureuse dès lors qu’elle est floue. En effet, on ne sait pas s’il a reçu une copie ou non de ce rapport et on ne sait pas non plus s’il en a tout de même eu connaissance. Par ailleurs, on notera que ce rapport a été versé au dossier par la Juge d’application des peines le 7 octobre 2021. De toute manière, la Cour de céans jouit d’un large pouvoir d’appréciation en fait et en droit, de sorte que l’éventuel grief de violation du droit d’être entendu peut être réparé, le recourant s’étant prononcé sur ledit rapport dans son recours.</w:t>
      </w:r>
    </w:p>
    <w:p>
      <w:r>
        <w:rPr>
          <w:b/>
        </w:rPr>
        <w:t>E. 2.3.2</w:t>
      </w:r>
    </w:p>
    <w:p>
      <w:r>
        <w:t>Quant au moyen tiré du fait que la Juge d’application des peines ne s’est pas prononcée sur l’argument du recourant relatif à l’absence désormais d’un « grave » trouble mental, s’il est exact que l’autorité intimée n’a pas traité spécifiquement cet argument, on relèvera</w:t>
      </w:r>
    </w:p>
    <w:p>
      <w:r>
        <w:t>- 12 - qu’elle a fait une appréciation globale en tenant compte notamment de l’expertise sur laquelle se fonde le recourant. Partant, la décision est suffisamment motivée et échappe à la critique sous l’angle du droit d’être entendu, le recourant ayant pu recourir en connaissance de cause. Les griefs en relation avec la violation du droit d’être entendu sont donc rejetés.</w:t>
      </w:r>
    </w:p>
    <w:p>
      <w:r>
        <w:rPr>
          <w:b/>
        </w:rPr>
        <w:t>E. 3</w:t>
      </w:r>
    </w:p>
    <w:p>
      <w:r>
        <w:t>CP (ATF 137 IV 201 consid. 1.2, JdT 2011 IV 395; ATF 128 IV 241 consid. 3.2), le rapport exigé par la disposition doit émaner du médecin traitant, dresser un bilan du traitement, comporter les éléments d'appréciation</w:t>
      </w:r>
    </w:p>
    <w:p>
      <w:r>
        <w:t>- 13 - médicaux utiles à l'évaluation de la dangerosité actuelle de l'auteur et se prononcer sur l'évolution probable de ces éléments en cas de poursuite du traitement selon les modalités les plus indiquées (ATF 137 IV 201 précité; TF 6B_714/2009 du 19 novembre 2009 consid. 1.1 et les réf. citées). Conformément à l'art. 62 al. 1 CP, l'auteur doit être libéré conditionnellement de l'exécution institutionnelle de la mesure dès que son état justifie qu'on lui donne l'occasion de faire ses preuves en liberté. L’auteur est libéré conditionnellement de l’exécution institutionnelle de la mesure dès que son état justifie de lui donner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w:t>
      </w:r>
    </w:p>
    <w:p>
      <w:r>
        <w:rPr>
          <w:b/>
        </w:rPr>
        <w:t>E. 3.1</w:t>
      </w:r>
    </w:p>
    <w:p>
      <w:r>
        <w:t>Le recourant reproche encore à l’autorité intimée une violation de l’art. 59 al. 1 CP. Il prend notamment appui sur les pages 16 in fine et 19 de l’expertise et soutient qu’il ne souffrirait d’aucun trouble mental « grave » et que le risque de récidive serait faible, non immédiat et peu important sur le court et moyen terme.</w:t>
      </w:r>
    </w:p>
    <w:p>
      <w:r>
        <w:rPr>
          <w:b/>
        </w:rPr>
        <w:t>E. 3.2.1</w:t>
      </w:r>
    </w:p>
    <w:p>
      <w:r>
        <w:t>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w:t>
      </w:r>
    </w:p>
    <w:p>
      <w:r>
        <w:rPr>
          <w:b/>
        </w:rPr>
        <w:t>E. 3.2.2</w:t>
      </w:r>
    </w:p>
    <w:p>
      <w:r>
        <w:t>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TF 6B_714/2009 du 19 novembre 2009 consid. 1.2 et les réf. citées), étant rappelé que s'agissant de la décision sur le pronostic, le principe in dubio pro reo n'est pas applicable (ATF 127 IV 1 consid. 2a p. 4 s.).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w:t>
      </w:r>
    </w:p>
    <w:p>
      <w:r>
        <w:t>- 14 - sorte la pesée à effectuer entre l'atteinte aux droits inhérente à la mesure ordonnée et la dangerosité de l'auteur (ATF 137 IV 201 précité;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ATF 127 IV 1 consid. 2a et les arrêts cités). Le pronostic doit également tenir compte de la durée de la privation de liberté déjà subie par l'auteur (ATF 137 IV 201 précité).</w:t>
      </w:r>
    </w:p>
    <w:p>
      <w:r>
        <w:rPr>
          <w:b/>
        </w:rPr>
        <w:t>E. 3.2.3</w:t>
      </w:r>
    </w:p>
    <w:p>
      <w:r>
        <w:t>Selon l’art. 62c CP,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CP, il est sérieusement à craindre que l’auteur ne commette d’autres infractions du même genre, le juge peut ordonner l’internement à la requête de l’autorité d’exécution (al. 4).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w:t>
      </w:r>
    </w:p>
    <w:p>
      <w:r>
        <w:rPr>
          <w:b/>
        </w:rPr>
        <w:t>E. 3.3.1</w:t>
      </w:r>
    </w:p>
    <w:p>
      <w:r>
        <w:t>En l’occurrence, l’expert constate, en page 16 in fine de son rapport du 7 août 2021, « l’absence de maladie mentale grave ». Il pose en outre, en page 19 le diagnostic de « trouble de la personnalité de type schizoïde et d’une dépendance à divers produits psychoactifs ». Le recourant en tire que les conditions de l’art. 59 CP ne seraient plus réunies</w:t>
      </w:r>
    </w:p>
    <w:p>
      <w:r>
        <w:t>- 15 - et que la libération conditionnelle devrait lui être accordée sans prolongation de la mesure. Toutefois, les arrêts du Tribunal fédéral qu’il cite (TF 6B_995/2020 du 5 mai 2021 consid. 4.4 ; TF 6B_839/2020 du 23 octobre 2020), et sur lesquels il s’appuie pour arriver à cette conclusion ne sont pas applicables en l’espèce puisqu’ils concernent le prononcé de la mesure, qui se fait à l’aune de l’art. 59 al. 1 CP, et non la libération conditionnelle, qui s’examine selon les critères de l’art. 62 al. 1 CP (cf. consid. 3.2.1 §3 supra), qui dispose que la libération conditionnelle suppose un pronostic favorable quant au comportement futur de l’intéressé. L’examen se fonde certes sur l’état de santé de l’auteur et l’état de santé du détenu va donc jouer un rôle dans l’examen de la libération conditionnelle, mais le simple fait que le trouble dont il souffre ne soit plus « grave » ne suffit pas. Il en va de même pour la prolongation du traitement, la mesure devant pouvoir être reconduite aussi souvent et aussi longtemps que son maintien s’avère nécessaire.</w:t>
      </w:r>
    </w:p>
    <w:p>
      <w:r>
        <w:rPr>
          <w:b/>
        </w:rPr>
        <w:t>E. 3.3.2</w:t>
      </w:r>
    </w:p>
    <w:p>
      <w:r>
        <w:t>S’agissant des conditions de la libération conditionnelle et de la prolongation de la mesure ordonnée par le Juge d’application des peines, on relèvera que l’expert conclut que le risque de récidive est faible et n’est pas imminent et qu’à long terme il dépendra de l’évolution psychosociale de l’expertisé. Toutefois, les auteurs de l’évaluation criminologique du 20 septembre 2021 estiment que le risque de récidive se situe à un niveau en-dessus de la moyenne, et que l’intensité du niveau du risque est fortement impactée par le nombre et la nature des victimes, à avoir des femmes choisies au hasard, par opportunité, qui rend donc le passage à l’acte d’autant plus imprévisible. Le fait que l’intéressé ait récidivé impacte également ce risque, tout comme la consommation de stupéfiants. A cela s’ajoute que vu l’état actuel de sa situation administrative, N.________ sera, à sa sortie, très probablement renvoyé en Turquie. Il ne parvient cependant nullement à élaborer un projet d’avenir dans ce pays. Il souhaite pouvoir regagner le logement familial dans le canton de Vaud et travailler dans le fast food dont son frère est gérant. Or, ce type d’emploi paraît en l’état incompatible avec les troubles dont il souffre. En effet, l’évaluation criminologique met à plusieurs reprises en évidence le fait qu’il a besoin de régularité et de routine, ce qui ne paraît</w:t>
      </w:r>
    </w:p>
    <w:p>
      <w:r>
        <w:t>- 16 - pas très réaliste en travaillant dans un restaurant dans lequel il va forcément devoir gérer ses émotions dans le cadre de relations interpersonnelles. Les auteurs des deux rapports sont toutefois d’avis que son évolution est favorable, qu’il tire bénéfice de la mesure et qu’il peut encore tirer bénéfice du cadre thérapeutique actuel. Ils sont également favorables à la mise en place d’un régime de conduites. Cependant, l’expert est d’avis qu’il faut encore un an ou deux d’observation pour élaborer un projet de vie dans un établissement. Une telle évolution devrait être lente et progressive, tenant compte des limitations de l’expertisé relatives à ses troubles mentaux. Il résulte de ces éléments essentiels que l’appréciation du premier juge, qui a également tenu compte de l’importance du bien juridique à protéger, selon laquelle les conditions de la libération conditionnelle ne sont pas remplies et que la mesure doit être prolongée échappe à la critique. D’ailleurs, le recourant relève lui-même qu’il est « probablement inapte à vivre en société en cas de sortie sèche ». On doit en effet regretter que le recourant n’ait pas été placé à Curabilis plus tôt car depuis qu’il réside dans cette institution, il fait des progrès. Il s’agit maintenant de mettre en place les conduites accompagnées préconisées et de préparer activement un élargissement encadré si l’évolution du recourant continue à être favorable. Pour cette raison, au regard du principe de la proportionnalité guidant l’art. 59 al. 4 CP, il convient de prolonger la mesure thérapeutique institutionnelle. Cette prolongation sera toutefois limitée à une année, à compter du 12 décembre 2021, pour tenir compte du fait que le recourant collabore maintenant avec les professionnels, ce qui le fait évoluer favorablement, et permet d’envisager éventuellement une libération conditionnelle à cette échéance. Le recours sera par conséquent partiellement admis sur ce point.</w:t>
      </w:r>
    </w:p>
    <w:p>
      <w:r>
        <w:t>- 17 -</w:t>
      </w:r>
    </w:p>
    <w:p>
      <w:r>
        <w:rPr>
          <w:b/>
        </w:rPr>
        <w:t>E. 4.1</w:t>
      </w:r>
    </w:p>
    <w:p>
      <w:r>
        <w:t>Le recourant, qui est renvoyé administrativement, a demandé une révision de la décision y relative. Il requiert que la procédure de recours soit suspendue jusqu’à droit connu sur la décision à intervenir.</w:t>
      </w:r>
    </w:p>
    <w:p>
      <w:r>
        <w:rPr>
          <w:b/>
        </w:rPr>
        <w:t>E. 4.2</w:t>
      </w:r>
    </w:p>
    <w:p>
      <w:r>
        <w:t>Une suspension de la présente procédure de recours n’est pas envisageable. En effet, d’une part la décision de prolongation doit intervenir en principe d’ici au 12 décembre 2021 et on ignore la durée de la procédure administrative. En outre, la décision qui sera rendue par le Service de la population n’aura en réalité aucun impact juridique direct sur la décision de la Cour de céans puisque l’élément principal de la prolongation de la mesure ne réside pas dans l’éventuel renvoi de N.________ en Turquie, mais plutôt dans une évolution favorable de son état psychique.</w:t>
      </w:r>
    </w:p>
    <w:p>
      <w:r>
        <w:rPr>
          <w:b/>
        </w:rPr>
        <w:t>E. 5</w:t>
      </w:r>
    </w:p>
    <w:p>
      <w:r>
        <w:t>En définitive, le recours doit être partiellement admis et le chiffre II du dispositif de l’ordonnance attaquée réformé en ce sens que la prolongation de la mesure est fixée à une année dès le 12 décembre 2021. Les frais de la procédure de recours, constitués en l’espèce de l’émolument d'arrêt, par 1’760 fr. (art. 20 al. 1 TFIP [Tarif des frais de procédure et indemnités en matière pénale du 28 septembre 2010; BLV 312.03.1]), et des frais imputables à la défense d’office (art. 422 al. 1 et 2 let. a CPP), fixés à 900 fr. (5 heures d’activité nécessaire d’avocat au tarif horaire de 180 fr.), auxquels il convient d’ajouter des débours forfaitaires à concurrence de 2 %, par 18 fr., plus la TVA, par 70 fr. 70, soit à 989 fr. au total, en chiffres arrondis, seront laissés à la charge de l’Etat (art. 423 al. 1 CPP).</w:t>
      </w:r>
    </w:p>
    <w:p>
      <w:r>
        <w:t>- 18 - Par ces motifs, la Chambre des recours pénale prononce : I. Le recours est partiellement admis. II. La requête de suspension est rejetée. III. L’ordonnance du 25 octobre 2020 est réformée au chiffre II de son dispositif comme il suit : II. Prolonge la mesure thérapeutique institutionnelle mentionnée sous chiffre I du présent dispositif pour une durée d’une année, à compter du 12 décembre 2021. L’ordonnance est confirmée pour le surplus. IV. L’indemnité allouée au défenseur d’office de N.________ est fixée à 989 fr. (neuf cent huitante-neuf francs). V. Les frais d’arrêt, par 1’760 fr. (mille sept cent soixante francs), ainsi que l’indemnité due au défenseur d’office de N.________, par 989 fr. (neuf cent huitante-neuf francs), sont laissés à la charge de l’Etat. VI. L’arrêt est exécutoire. Le président : La greffière : Du Le présent arrêt, dont la rédaction a été approuvée à huis clos, est notifié, par l'envoi d'une copie complète, à : - Me Saskia Ditisheim, avocate (pour N.________), - Ministère public central, et communiqué à : - Mme la Juge d’application des peines, - M. le Procureur du Ministère public central, Division affaires spéciales, - Office d’exécution des peines (OEP/MES/20960/CGY/GA), - Direction de l’établissement pénitentiaire fermé Curabilis, - Service de la population,</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