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AP21.002887 vom 30. März 2021</w:t>
      </w:r>
    </w:p>
    <w:p>
      <w:r>
        <w:t>VD Tribunal cantonal, 2021-03-30, FR</w:t>
      </w:r>
    </w:p>
    <w:p>
      <w:r>
        <w:rPr>
          <w:b/>
        </w:rPr>
        <w:t xml:space="preserve">Quelle: </w:t>
      </w:r>
      <w:r>
        <w:t>https://mcp.opencaselaw.ch/entscheid/vd_gerichte_AP21.002887</w:t>
      </w:r>
    </w:p>
    <w:p>
      <w:r>
        <w:t>FR: VD_GERICHTE AP21.002887 du 30 mars 2021</w:t>
      </w:r>
    </w:p>
    <w:p>
      <w:r>
        <w:t>IT: VD_GERICHTE AP21.002887 del 30 marzo 2021</w:t>
      </w:r>
    </w:p>
    <w:p>
      <w:pPr>
        <w:pStyle w:val="Heading2"/>
      </w:pPr>
      <w:r>
        <w:t>Erwägungen</w:t>
      </w:r>
    </w:p>
    <w:p>
      <w:r>
        <w:rPr>
          <w:b/>
        </w:rPr>
        <w:t>E. 1.1</w:t>
      </w:r>
    </w:p>
    <w:p>
      <w:r>
        <w:t>Aux termes de l'art. 38 al. 1 LEP (loi sur l’exécution des condamnations pénales du 4 juillet 2006; BLV 340.01), les décisions rendues par l'Office d’exécution des peines – lequel est compétent pour mettre en œuvre l’exécution des condamnations pénales et ordonner une détention cellulaire de sûreté (art. 8 et 19 al. 1 let. g LEP) – peuvent faire l'objet d'un recours auprès du Tribunal cantonal. Selon l'art. 38 al. 2 LEP, la procédure est régie par les dispositions du CPP (Code de procédure pénale suisse du 5 octobre 2007; RS 312.0) relatives au recours. Le recours doit ainsi être adressé par écrit, dans un délai de dix jours dès la notification de la décision attaquée (art. 384 let. b et 396 al. 1 CPP), à l’autorité de recours qui, dans le canton de Vaud, est la Chambre des recours pénale du Tribunal cantonal (art. 13 LVCPP [loi vaudoise d’introduction du Code de procédure pénale suisse du 19 mai 2009; BLV 312.01]); art. 80 LOJV [loi vaudoise d'organisation judiciaire du 12 septembre 1979; BLV 173.01]).</w:t>
      </w:r>
    </w:p>
    <w:p>
      <w:r>
        <w:rPr>
          <w:b/>
        </w:rPr>
        <w:t>E. 1.2</w:t>
      </w:r>
    </w:p>
    <w:p>
      <w:r>
        <w:t>En l’espèce, le recours a été interjeté en temps utile, par mémoire déposé auprès de l’autorité compétente par le condamné qui a qualité pour recourir (art. 382 al. 1 CPP).</w:t>
      </w:r>
    </w:p>
    <w:p>
      <w:r>
        <w:t>- 5 -</w:t>
      </w:r>
    </w:p>
    <w:p>
      <w:r>
        <w:rPr>
          <w:b/>
        </w:rPr>
        <w:t>E. 2.1.1</w:t>
      </w:r>
    </w:p>
    <w:p>
      <w:r>
        <w:t>Cela étant, la recevabilité du recours suppose que l’acte de recours soit motivé (art. 396 al. 1 CPP, précité).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Pour satisfaire à l’exigence de motivation de l’art. 385 al. 1 let. b CPP, la partie recourante doit exposer les arguments, de fait ou de droit, sur lesquels elle prétend se fonder pour faire modifier la décision en sa faveur (TF 6B_510/2020 du 15 septembre 2020 consid. 2.2 et les réf. citées; Pitteloud, Code de procédure pénale suisse, Commentaire à l’usage des praticiens, Zurich/St-Gall 2012, n. 1126; Lieber, in : Donatsch/Hansjakob/Lieber [éd.], Kommentar zur Schweizerischen Strafprozessordnung, 2e éd., Zurich/Bâle/Genève 2014, n. 2 ad art. 385 CPP). Ainsi, le recourant doit indiquer dans quelle mesure et sous quel angle il entend critiquer l’établissement des faits ou l’application du droit (Calame, in : Jeanneret/Kuhn/Perrier Depeursinge [éd.], Code de procédure pénale suisse, Commentaire romand, 2e éd., Bâle 2019, n. 20 ad art. 385 CPP).</w:t>
      </w:r>
    </w:p>
    <w:p>
      <w:r>
        <w:rPr>
          <w:b/>
        </w:rPr>
        <w:t>E. 2.1.2</w:t>
      </w:r>
    </w:p>
    <w:p>
      <w:r>
        <w:t>L’art. 385 al. 2, 1re phrase,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w:t>
      </w:r>
    </w:p>
    <w:p>
      <w:r>
        <w:t>- 6 - CPP ne devant pas être appliqué afin de détourner la portée de l’art. 89 al. 1 CPP, qui interdit la prolongation des délais fixés par la loi et n’autorise pas la partie à compléter un acte dépourvu de motivation (TF 6B_510/2020 du 15 septembre 2020, précité, consid. 2.2 et les réf. citées; TF 6B_510/2018 du 31 juillet 2018 consid. 1; TF 1B_232/2017 du 19 juillet 2017 consid. 2.4.3; CREP 22 juin 2020/487; cf. aussi CREP du 4 août 2020/576).</w:t>
      </w:r>
    </w:p>
    <w:p>
      <w:r>
        <w:rPr>
          <w:b/>
        </w:rPr>
        <w:t>E. 2.2</w:t>
      </w:r>
    </w:p>
    <w:p>
      <w:r>
        <w:t>Dans le cas présent, le recours du 6 février 2021 ne comporte aucun moyen, de fait ou de droit, qui serait dirigé contre les motifs de la décision du 5 février 2021. En effet, le recourant formule des griefs d’ordre général quant aux possibles effets de la pandémie sur son état de santé, et déclare qu’il refuse de mettre sa vie en danger. En outre, il prétend que le certificat qu’il a produit indiquerait clairement qu’il est inapte à purger sa peine; il admet toutefois que cette conclusion n’est pas précisée sur ledit certificat. Ce faisant, il se contente de contester la conclusion à laquelle l’OEP est arrivé, sans remettre en cause le raisonnement qui a permis d’aboutir à celle-ci. Il faut en déduire que, par son acte, le recourant ne s’en prend ainsi pas à la motivation de la décision attaquée. L’acte de recours ne s’attache dès lors pas à démontrer que la décision attaquée devrait être modifiée, respectivement annulée. Partant, le recours ne satisfait pas aux exigences de l’art. 385 al. 1, spécialement let. b, CPP. Le défaut de motivation entachant l’acte introductif d’instance ne saurait justifier qu'un délai supplémentaire soit imparti au recourant, respectivement à son mandataire, pour compléter ses écritures en application de l'art. 385 al. 2 CPP (cf. les arrêts précités au consid. 2.1.2).</w:t>
      </w:r>
    </w:p>
    <w:p>
      <w:r>
        <w:rPr>
          <w:b/>
        </w:rPr>
        <w:t>E. 3</w:t>
      </w:r>
    </w:p>
    <w:p>
      <w:r>
        <w:t>Il résulte de ce qui précède que le recours doit être déclaré irrecevable sans autre échange d’écritures (art. 390 al. 2 CPP). Vu l’issue de la cause, les frais de la procédure de recours, constitués de l’émolument d’arrêt, par 660 fr. (art. 20 al. 1 TFIP [tarif des</w:t>
      </w:r>
    </w:p>
    <w:p>
      <w:r>
        <w:t>- 7 - frais de procédure et indemnités en matière pénale du 28 septembre 2010; BLV 312.03.1]), seront mis à la charge du recourant, qui succombe (art. 428 al. 1 CPP). Par ces motifs, la Chambre des recours pénale prononce : I. Le recours est irrecevable. II. Les frais d’arrêt, par 660 fr. (six cent soixante francs), sont mis à la charge d’M.________. III. L’arrêt est exécutoire. Le président : Le greffier : Du Le présent arrêt, dont la rédaction a été approuvée à huis clos, est notifié, par l'envoi d'une copie complète, à : - Me Laurent Etter, avocat (pour M.________), - Ministère public central, et communiqué à : - Office d’exécution des peines, par l’envoi de photocopies. Le présent arrêt peut faire l'objet d'un recours en matière pénale devant le Tribunal fédéral au sens des art. 78 ss LTF (loi sur le Tribunal fédéral du 17 juin 2005; RS 173.110). Ce recours doit être déposé</w:t>
      </w:r>
    </w:p>
    <w:p>
      <w:r>
        <w:t>- 8 -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